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both"/>
        <w:rPr>
          <w:rFonts w:hint="eastAsia" w:ascii="黑体" w:hAnsi="黑体" w:eastAsia="黑体" w:cs="黑体"/>
          <w:sz w:val="24"/>
          <w:szCs w:val="36"/>
          <w:lang w:val="en-US" w:eastAsia="zh-CN"/>
        </w:rPr>
      </w:pPr>
      <w:bookmarkStart w:id="0" w:name="_Toc21877"/>
      <w:r>
        <w:rPr>
          <w:rFonts w:hint="eastAsia" w:ascii="黑体" w:hAnsi="黑体" w:eastAsia="黑体" w:cs="黑体"/>
          <w:sz w:val="24"/>
          <w:szCs w:val="36"/>
          <w:lang w:val="en-US" w:eastAsia="zh-CN"/>
        </w:rPr>
        <w:t>附件16：</w:t>
      </w:r>
      <w:bookmarkStart w:id="1" w:name="_GoBack"/>
      <w:bookmarkEnd w:id="1"/>
    </w:p>
    <w:p>
      <w:pPr>
        <w:pStyle w:val="2"/>
      </w:pPr>
      <w:r>
        <w:rPr>
          <w:rFonts w:hint="eastAsia"/>
        </w:rPr>
        <w:t>合肥工业大学教学科研实体评价暂行办法</w:t>
      </w:r>
      <w:bookmarkEnd w:id="0"/>
    </w:p>
    <w:p>
      <w:pPr>
        <w:spacing w:line="360" w:lineRule="auto"/>
        <w:ind w:firstLine="560" w:firstLineChars="200"/>
        <w:jc w:val="left"/>
        <w:rPr>
          <w:rFonts w:cs="宋体" w:asciiTheme="minorEastAsia" w:hAnsiTheme="minorEastAsia"/>
          <w:color w:val="000000" w:themeColor="text1"/>
          <w:kern w:val="0"/>
          <w:szCs w:val="28"/>
          <w14:textFill>
            <w14:solidFill>
              <w14:schemeClr w14:val="tx1"/>
            </w14:solidFill>
          </w14:textFill>
        </w:rPr>
      </w:pPr>
      <w:r>
        <w:rPr>
          <w:rFonts w:hint="eastAsia" w:cs="宋体" w:asciiTheme="minorEastAsia" w:hAnsiTheme="minorEastAsia"/>
          <w:color w:val="000000" w:themeColor="text1"/>
          <w:kern w:val="0"/>
          <w:szCs w:val="28"/>
          <w14:textFill>
            <w14:solidFill>
              <w14:schemeClr w14:val="tx1"/>
            </w14:solidFill>
          </w14:textFill>
        </w:rPr>
        <w:t>根据《深化新时代教育评价改革总体方案》文件精神，结合学校教学科研实际情况，特制定本暂行办法。</w:t>
      </w:r>
    </w:p>
    <w:p>
      <w:pPr>
        <w:spacing w:line="360" w:lineRule="auto"/>
        <w:ind w:firstLine="562" w:firstLineChars="200"/>
        <w:jc w:val="left"/>
        <w:rPr>
          <w:rFonts w:cs="宋体" w:asciiTheme="minorEastAsia" w:hAnsiTheme="minorEastAsia"/>
          <w:b/>
          <w:bCs/>
          <w:color w:val="000000" w:themeColor="text1"/>
          <w:kern w:val="0"/>
          <w:szCs w:val="28"/>
          <w14:textFill>
            <w14:solidFill>
              <w14:schemeClr w14:val="tx1"/>
            </w14:solidFill>
          </w14:textFill>
        </w:rPr>
      </w:pPr>
      <w:r>
        <w:rPr>
          <w:rFonts w:hint="eastAsia" w:cs="宋体" w:asciiTheme="minorEastAsia" w:hAnsiTheme="minorEastAsia"/>
          <w:b/>
          <w:bCs/>
          <w:color w:val="000000" w:themeColor="text1"/>
          <w:kern w:val="0"/>
          <w:szCs w:val="28"/>
          <w14:textFill>
            <w14:solidFill>
              <w14:schemeClr w14:val="tx1"/>
            </w14:solidFill>
          </w14:textFill>
        </w:rPr>
        <w:t>一、评价原则</w:t>
      </w:r>
    </w:p>
    <w:p>
      <w:pPr>
        <w:spacing w:line="360" w:lineRule="auto"/>
        <w:ind w:firstLine="560" w:firstLineChars="200"/>
        <w:jc w:val="left"/>
        <w:rPr>
          <w:rFonts w:cs="宋体" w:asciiTheme="minorEastAsia" w:hAnsiTheme="minorEastAsia"/>
          <w:color w:val="000000" w:themeColor="text1"/>
          <w:kern w:val="0"/>
          <w:szCs w:val="28"/>
          <w14:textFill>
            <w14:solidFill>
              <w14:schemeClr w14:val="tx1"/>
            </w14:solidFill>
          </w14:textFill>
        </w:rPr>
      </w:pPr>
      <w:r>
        <w:rPr>
          <w:rFonts w:hint="eastAsia" w:cs="宋体" w:asciiTheme="minorEastAsia" w:hAnsiTheme="minorEastAsia"/>
          <w:color w:val="000000" w:themeColor="text1"/>
          <w:kern w:val="0"/>
          <w:szCs w:val="28"/>
          <w14:textFill>
            <w14:solidFill>
              <w14:schemeClr w14:val="tx1"/>
            </w14:solidFill>
          </w14:textFill>
        </w:rPr>
        <w:t>1、破解“五唯”的评价机制，引导教学科研工作向多领域、高水平、原创性发展。</w:t>
      </w:r>
    </w:p>
    <w:p>
      <w:pPr>
        <w:spacing w:line="360" w:lineRule="auto"/>
        <w:ind w:firstLine="560" w:firstLineChars="200"/>
        <w:jc w:val="left"/>
        <w:rPr>
          <w:rFonts w:cs="宋体" w:asciiTheme="minorEastAsia" w:hAnsiTheme="minorEastAsia"/>
          <w:color w:val="000000" w:themeColor="text1"/>
          <w:kern w:val="0"/>
          <w:szCs w:val="28"/>
          <w14:textFill>
            <w14:solidFill>
              <w14:schemeClr w14:val="tx1"/>
            </w14:solidFill>
          </w14:textFill>
        </w:rPr>
      </w:pPr>
      <w:r>
        <w:rPr>
          <w:rFonts w:hint="eastAsia" w:cs="宋体" w:asciiTheme="minorEastAsia" w:hAnsiTheme="minorEastAsia"/>
          <w:color w:val="000000" w:themeColor="text1"/>
          <w:kern w:val="0"/>
          <w:szCs w:val="28"/>
          <w14:textFill>
            <w14:solidFill>
              <w14:schemeClr w14:val="tx1"/>
            </w14:solidFill>
          </w14:textFill>
        </w:rPr>
        <w:t>2、坚持多元评价和多维度评价，侧重体现学校办学水平、科研创新等标志性成果。</w:t>
      </w:r>
    </w:p>
    <w:p>
      <w:pPr>
        <w:spacing w:line="360" w:lineRule="auto"/>
        <w:ind w:firstLine="560" w:firstLineChars="200"/>
        <w:jc w:val="left"/>
        <w:rPr>
          <w:rFonts w:cs="宋体" w:asciiTheme="minorEastAsia" w:hAnsiTheme="minorEastAsia"/>
          <w:color w:val="000000" w:themeColor="text1"/>
          <w:kern w:val="0"/>
          <w:szCs w:val="28"/>
          <w14:textFill>
            <w14:solidFill>
              <w14:schemeClr w14:val="tx1"/>
            </w14:solidFill>
          </w14:textFill>
        </w:rPr>
      </w:pPr>
      <w:r>
        <w:rPr>
          <w:rFonts w:hint="eastAsia" w:cs="宋体" w:asciiTheme="minorEastAsia" w:hAnsiTheme="minorEastAsia"/>
          <w:color w:val="000000" w:themeColor="text1"/>
          <w:kern w:val="0"/>
          <w:szCs w:val="28"/>
          <w14:textFill>
            <w14:solidFill>
              <w14:schemeClr w14:val="tx1"/>
            </w14:solidFill>
          </w14:textFill>
        </w:rPr>
        <w:t>3、坚持增值评价和综合性评价，引领教学科研工作坚持质量优先和内涵式发展。</w:t>
      </w:r>
    </w:p>
    <w:p>
      <w:pPr>
        <w:spacing w:line="360" w:lineRule="auto"/>
        <w:ind w:firstLine="562" w:firstLineChars="200"/>
        <w:jc w:val="left"/>
        <w:rPr>
          <w:rFonts w:cs="宋体" w:asciiTheme="minorEastAsia" w:hAnsiTheme="minorEastAsia"/>
          <w:b/>
          <w:bCs/>
          <w:color w:val="000000" w:themeColor="text1"/>
          <w:kern w:val="0"/>
          <w:szCs w:val="28"/>
          <w14:textFill>
            <w14:solidFill>
              <w14:schemeClr w14:val="tx1"/>
            </w14:solidFill>
          </w14:textFill>
        </w:rPr>
      </w:pPr>
      <w:r>
        <w:rPr>
          <w:rFonts w:hint="eastAsia" w:cs="宋体" w:asciiTheme="minorEastAsia" w:hAnsiTheme="minorEastAsia"/>
          <w:b/>
          <w:bCs/>
          <w:color w:val="000000" w:themeColor="text1"/>
          <w:kern w:val="0"/>
          <w:szCs w:val="28"/>
          <w14:textFill>
            <w14:solidFill>
              <w14:schemeClr w14:val="tx1"/>
            </w14:solidFill>
          </w14:textFill>
        </w:rPr>
        <w:t>二、评价类别</w:t>
      </w:r>
    </w:p>
    <w:p>
      <w:pPr>
        <w:spacing w:line="360" w:lineRule="auto"/>
        <w:ind w:firstLine="560" w:firstLineChars="200"/>
        <w:jc w:val="left"/>
        <w:rPr>
          <w:rFonts w:cs="宋体" w:asciiTheme="minorEastAsia" w:hAnsiTheme="minorEastAsia"/>
          <w:color w:val="000000" w:themeColor="text1"/>
          <w:kern w:val="0"/>
          <w:szCs w:val="28"/>
          <w14:textFill>
            <w14:solidFill>
              <w14:schemeClr w14:val="tx1"/>
            </w14:solidFill>
          </w14:textFill>
        </w:rPr>
      </w:pPr>
      <w:r>
        <w:rPr>
          <w:rFonts w:hint="eastAsia" w:cs="宋体" w:asciiTheme="minorEastAsia" w:hAnsiTheme="minorEastAsia"/>
          <w:color w:val="000000" w:themeColor="text1"/>
          <w:kern w:val="0"/>
          <w:szCs w:val="28"/>
          <w14:textFill>
            <w14:solidFill>
              <w14:schemeClr w14:val="tx1"/>
            </w14:solidFill>
          </w14:textFill>
        </w:rPr>
        <w:t>主要包括教学突出业绩与科研突出业绩两大类。</w:t>
      </w:r>
    </w:p>
    <w:p>
      <w:pPr>
        <w:spacing w:line="360" w:lineRule="auto"/>
        <w:ind w:firstLine="560" w:firstLineChars="200"/>
        <w:jc w:val="left"/>
        <w:rPr>
          <w:rFonts w:cs="宋体" w:asciiTheme="minorEastAsia" w:hAnsiTheme="minorEastAsia"/>
          <w:color w:val="000000" w:themeColor="text1"/>
          <w:kern w:val="0"/>
          <w:szCs w:val="28"/>
          <w14:textFill>
            <w14:solidFill>
              <w14:schemeClr w14:val="tx1"/>
            </w14:solidFill>
          </w14:textFill>
        </w:rPr>
      </w:pPr>
      <w:r>
        <w:rPr>
          <w:rFonts w:hint="eastAsia" w:cs="宋体" w:asciiTheme="minorEastAsia" w:hAnsiTheme="minorEastAsia"/>
          <w:color w:val="000000" w:themeColor="text1"/>
          <w:kern w:val="0"/>
          <w:szCs w:val="28"/>
          <w14:textFill>
            <w14:solidFill>
              <w14:schemeClr w14:val="tx1"/>
            </w14:solidFill>
          </w14:textFill>
        </w:rPr>
        <w:t>1、教学突出业绩</w:t>
      </w:r>
    </w:p>
    <w:p>
      <w:pPr>
        <w:spacing w:line="360" w:lineRule="auto"/>
        <w:ind w:firstLine="560" w:firstLineChars="200"/>
        <w:jc w:val="left"/>
        <w:rPr>
          <w:rFonts w:cs="宋体" w:asciiTheme="minorEastAsia" w:hAnsiTheme="minorEastAsia"/>
          <w:color w:val="000000" w:themeColor="text1"/>
          <w:kern w:val="0"/>
          <w:szCs w:val="28"/>
          <w14:textFill>
            <w14:solidFill>
              <w14:schemeClr w14:val="tx1"/>
            </w14:solidFill>
          </w14:textFill>
        </w:rPr>
      </w:pPr>
      <w:r>
        <w:rPr>
          <w:rFonts w:hint="eastAsia" w:cs="宋体" w:asciiTheme="minorEastAsia" w:hAnsiTheme="minorEastAsia"/>
          <w:color w:val="000000" w:themeColor="text1"/>
          <w:kern w:val="0"/>
          <w:szCs w:val="28"/>
          <w14:textFill>
            <w14:solidFill>
              <w14:schemeClr w14:val="tx1"/>
            </w14:solidFill>
          </w14:textFill>
        </w:rPr>
        <w:t>教学突出业绩由本科生院（研究生院配合）根据各学院本年度教学突出业绩的贡献份额核算，各指标如下：</w:t>
      </w:r>
    </w:p>
    <w:p>
      <w:pPr>
        <w:spacing w:line="360" w:lineRule="auto"/>
        <w:ind w:firstLine="560" w:firstLineChars="200"/>
        <w:jc w:val="left"/>
        <w:rPr>
          <w:rFonts w:cs="宋体" w:asciiTheme="minorEastAsia" w:hAnsiTheme="minorEastAsia"/>
          <w:color w:val="000000" w:themeColor="text1"/>
          <w:kern w:val="0"/>
          <w:szCs w:val="28"/>
          <w14:textFill>
            <w14:solidFill>
              <w14:schemeClr w14:val="tx1"/>
            </w14:solidFill>
          </w14:textFill>
        </w:rPr>
      </w:pPr>
      <w:r>
        <w:rPr>
          <w:rFonts w:hint="eastAsia" w:cs="宋体" w:asciiTheme="minorEastAsia" w:hAnsiTheme="minorEastAsia"/>
          <w:color w:val="000000" w:themeColor="text1"/>
          <w:kern w:val="0"/>
          <w:szCs w:val="28"/>
          <w14:textFill>
            <w14:solidFill>
              <w14:schemeClr w14:val="tx1"/>
            </w14:solidFill>
          </w14:textFill>
        </w:rPr>
        <w:t>①教改研究成果</w:t>
      </w:r>
    </w:p>
    <w:p>
      <w:pPr>
        <w:spacing w:line="360" w:lineRule="auto"/>
        <w:ind w:firstLine="560" w:firstLineChars="200"/>
        <w:jc w:val="left"/>
        <w:rPr>
          <w:rFonts w:cs="宋体" w:asciiTheme="minorEastAsia" w:hAnsiTheme="minorEastAsia"/>
          <w:color w:val="000000" w:themeColor="text1"/>
          <w:kern w:val="0"/>
          <w:szCs w:val="28"/>
          <w14:textFill>
            <w14:solidFill>
              <w14:schemeClr w14:val="tx1"/>
            </w14:solidFill>
          </w14:textFill>
        </w:rPr>
      </w:pPr>
      <w:r>
        <w:rPr>
          <w:rFonts w:hint="eastAsia" w:cs="宋体" w:asciiTheme="minorEastAsia" w:hAnsiTheme="minorEastAsia"/>
          <w:color w:val="000000" w:themeColor="text1"/>
          <w:kern w:val="0"/>
          <w:szCs w:val="28"/>
          <w14:textFill>
            <w14:solidFill>
              <w14:schemeClr w14:val="tx1"/>
            </w14:solidFill>
          </w14:textFill>
        </w:rPr>
        <w:t>②创新创业成果</w:t>
      </w:r>
    </w:p>
    <w:p>
      <w:pPr>
        <w:spacing w:line="360" w:lineRule="auto"/>
        <w:ind w:firstLine="560" w:firstLineChars="200"/>
        <w:jc w:val="left"/>
        <w:rPr>
          <w:rFonts w:cs="宋体" w:asciiTheme="minorEastAsia" w:hAnsiTheme="minorEastAsia"/>
          <w:color w:val="000000" w:themeColor="text1"/>
          <w:kern w:val="0"/>
          <w:szCs w:val="28"/>
          <w14:textFill>
            <w14:solidFill>
              <w14:schemeClr w14:val="tx1"/>
            </w14:solidFill>
          </w14:textFill>
        </w:rPr>
      </w:pPr>
      <w:r>
        <w:rPr>
          <w:rFonts w:hint="eastAsia" w:cs="宋体" w:asciiTheme="minorEastAsia" w:hAnsiTheme="minorEastAsia"/>
          <w:color w:val="000000" w:themeColor="text1"/>
          <w:kern w:val="0"/>
          <w:szCs w:val="28"/>
          <w14:textFill>
            <w14:solidFill>
              <w14:schemeClr w14:val="tx1"/>
            </w14:solidFill>
          </w14:textFill>
        </w:rPr>
        <w:t>③教学工作量</w:t>
      </w:r>
    </w:p>
    <w:p>
      <w:pPr>
        <w:spacing w:line="360" w:lineRule="auto"/>
        <w:ind w:firstLine="560" w:firstLineChars="200"/>
        <w:jc w:val="left"/>
        <w:rPr>
          <w:rFonts w:cs="宋体" w:asciiTheme="minorEastAsia" w:hAnsiTheme="minorEastAsia"/>
          <w:color w:val="000000" w:themeColor="text1"/>
          <w:kern w:val="0"/>
          <w:szCs w:val="28"/>
          <w14:textFill>
            <w14:solidFill>
              <w14:schemeClr w14:val="tx1"/>
            </w14:solidFill>
          </w14:textFill>
        </w:rPr>
      </w:pPr>
      <w:r>
        <w:rPr>
          <w:rFonts w:hint="eastAsia" w:cs="宋体" w:asciiTheme="minorEastAsia" w:hAnsiTheme="minorEastAsia"/>
          <w:color w:val="000000" w:themeColor="text1"/>
          <w:kern w:val="0"/>
          <w:szCs w:val="28"/>
          <w14:textFill>
            <w14:solidFill>
              <w14:schemeClr w14:val="tx1"/>
            </w14:solidFill>
          </w14:textFill>
        </w:rPr>
        <w:t>2、科研突出业绩</w:t>
      </w:r>
    </w:p>
    <w:p>
      <w:pPr>
        <w:spacing w:line="360" w:lineRule="auto"/>
        <w:ind w:firstLine="560" w:firstLineChars="200"/>
        <w:jc w:val="left"/>
        <w:rPr>
          <w:rFonts w:cs="宋体" w:asciiTheme="minorEastAsia" w:hAnsiTheme="minorEastAsia"/>
          <w:color w:val="000000" w:themeColor="text1"/>
          <w:kern w:val="0"/>
          <w:szCs w:val="28"/>
          <w14:textFill>
            <w14:solidFill>
              <w14:schemeClr w14:val="tx1"/>
            </w14:solidFill>
          </w14:textFill>
        </w:rPr>
      </w:pPr>
      <w:r>
        <w:rPr>
          <w:rFonts w:hint="eastAsia" w:cs="宋体" w:asciiTheme="minorEastAsia" w:hAnsiTheme="minorEastAsia"/>
          <w:color w:val="000000" w:themeColor="text1"/>
          <w:kern w:val="0"/>
          <w:szCs w:val="28"/>
          <w14:textFill>
            <w14:solidFill>
              <w14:schemeClr w14:val="tx1"/>
            </w14:solidFill>
          </w14:textFill>
        </w:rPr>
        <w:t>科研突出业绩由科研院根据各学院本年度科研突出业绩的贡献份额核算，各指标如下：</w:t>
      </w:r>
    </w:p>
    <w:p>
      <w:pPr>
        <w:spacing w:line="360" w:lineRule="auto"/>
        <w:ind w:firstLine="560" w:firstLineChars="200"/>
        <w:jc w:val="left"/>
        <w:rPr>
          <w:rFonts w:cs="宋体" w:asciiTheme="minorEastAsia" w:hAnsiTheme="minorEastAsia"/>
          <w:color w:val="000000" w:themeColor="text1"/>
          <w:kern w:val="0"/>
          <w:szCs w:val="28"/>
          <w14:textFill>
            <w14:solidFill>
              <w14:schemeClr w14:val="tx1"/>
            </w14:solidFill>
          </w14:textFill>
        </w:rPr>
      </w:pPr>
      <w:r>
        <w:rPr>
          <w:rFonts w:hint="eastAsia" w:cs="宋体" w:asciiTheme="minorEastAsia" w:hAnsiTheme="minorEastAsia"/>
          <w:color w:val="000000" w:themeColor="text1"/>
          <w:kern w:val="0"/>
          <w:szCs w:val="28"/>
          <w14:textFill>
            <w14:solidFill>
              <w14:schemeClr w14:val="tx1"/>
            </w14:solidFill>
          </w14:textFill>
        </w:rPr>
        <w:t>①基础研究成果</w:t>
      </w:r>
    </w:p>
    <w:p>
      <w:pPr>
        <w:spacing w:line="360" w:lineRule="auto"/>
        <w:ind w:firstLine="560" w:firstLineChars="200"/>
        <w:jc w:val="left"/>
        <w:rPr>
          <w:rFonts w:cs="宋体" w:asciiTheme="minorEastAsia" w:hAnsiTheme="minorEastAsia"/>
          <w:color w:val="000000" w:themeColor="text1"/>
          <w:kern w:val="0"/>
          <w:szCs w:val="28"/>
          <w14:textFill>
            <w14:solidFill>
              <w14:schemeClr w14:val="tx1"/>
            </w14:solidFill>
          </w14:textFill>
        </w:rPr>
      </w:pPr>
      <w:r>
        <w:rPr>
          <w:rFonts w:hint="eastAsia" w:cs="宋体" w:asciiTheme="minorEastAsia" w:hAnsiTheme="minorEastAsia"/>
          <w:color w:val="000000" w:themeColor="text1"/>
          <w:kern w:val="0"/>
          <w:szCs w:val="28"/>
          <w14:textFill>
            <w14:solidFill>
              <w14:schemeClr w14:val="tx1"/>
            </w14:solidFill>
          </w14:textFill>
        </w:rPr>
        <w:t>②应用研究成果</w:t>
      </w:r>
    </w:p>
    <w:p>
      <w:pPr>
        <w:spacing w:line="360" w:lineRule="auto"/>
        <w:ind w:firstLine="560" w:firstLineChars="200"/>
        <w:jc w:val="left"/>
        <w:rPr>
          <w:rFonts w:cs="宋体" w:asciiTheme="minorEastAsia" w:hAnsiTheme="minorEastAsia"/>
          <w:color w:val="000000" w:themeColor="text1"/>
          <w:kern w:val="0"/>
          <w:szCs w:val="28"/>
          <w14:textFill>
            <w14:solidFill>
              <w14:schemeClr w14:val="tx1"/>
            </w14:solidFill>
          </w14:textFill>
        </w:rPr>
      </w:pPr>
      <w:r>
        <w:rPr>
          <w:rFonts w:hint="eastAsia" w:cs="宋体" w:asciiTheme="minorEastAsia" w:hAnsiTheme="minorEastAsia"/>
          <w:color w:val="000000" w:themeColor="text1"/>
          <w:kern w:val="0"/>
          <w:szCs w:val="28"/>
          <w14:textFill>
            <w14:solidFill>
              <w14:schemeClr w14:val="tx1"/>
            </w14:solidFill>
          </w14:textFill>
        </w:rPr>
        <w:t>③科研工作量</w:t>
      </w:r>
    </w:p>
    <w:p>
      <w:pPr>
        <w:spacing w:line="360" w:lineRule="auto"/>
        <w:ind w:firstLine="562" w:firstLineChars="200"/>
        <w:jc w:val="left"/>
        <w:rPr>
          <w:rFonts w:cs="宋体" w:asciiTheme="minorEastAsia" w:hAnsiTheme="minorEastAsia"/>
          <w:b/>
          <w:bCs/>
          <w:color w:val="000000" w:themeColor="text1"/>
          <w:kern w:val="0"/>
          <w:szCs w:val="28"/>
          <w14:textFill>
            <w14:solidFill>
              <w14:schemeClr w14:val="tx1"/>
            </w14:solidFill>
          </w14:textFill>
        </w:rPr>
      </w:pPr>
      <w:r>
        <w:rPr>
          <w:rFonts w:hint="eastAsia" w:cs="宋体" w:asciiTheme="minorEastAsia" w:hAnsiTheme="minorEastAsia"/>
          <w:b/>
          <w:bCs/>
          <w:color w:val="000000" w:themeColor="text1"/>
          <w:kern w:val="0"/>
          <w:szCs w:val="28"/>
          <w14:textFill>
            <w14:solidFill>
              <w14:schemeClr w14:val="tx1"/>
            </w14:solidFill>
          </w14:textFill>
        </w:rPr>
        <w:t>三、其他突出业绩</w:t>
      </w:r>
    </w:p>
    <w:p>
      <w:pPr>
        <w:spacing w:line="360" w:lineRule="auto"/>
        <w:ind w:firstLine="560" w:firstLineChars="200"/>
        <w:jc w:val="left"/>
        <w:rPr>
          <w:rFonts w:cs="宋体" w:asciiTheme="minorEastAsia" w:hAnsiTheme="minorEastAsia"/>
          <w:color w:val="000000" w:themeColor="text1"/>
          <w:kern w:val="0"/>
          <w:szCs w:val="28"/>
          <w14:textFill>
            <w14:solidFill>
              <w14:schemeClr w14:val="tx1"/>
            </w14:solidFill>
          </w14:textFill>
        </w:rPr>
      </w:pPr>
      <w:r>
        <w:rPr>
          <w:rFonts w:hint="eastAsia" w:cs="宋体" w:asciiTheme="minorEastAsia" w:hAnsiTheme="minorEastAsia"/>
          <w:color w:val="000000" w:themeColor="text1"/>
          <w:kern w:val="0"/>
          <w:szCs w:val="28"/>
          <w14:textFill>
            <w14:solidFill>
              <w14:schemeClr w14:val="tx1"/>
            </w14:solidFill>
          </w14:textFill>
        </w:rPr>
        <w:t>1、获批国家级“一流专业”，每项奖励15万元；获批省级“一流专业”专业，每项奖励5万元。</w:t>
      </w:r>
    </w:p>
    <w:p>
      <w:pPr>
        <w:spacing w:line="360" w:lineRule="auto"/>
        <w:ind w:firstLine="560" w:firstLineChars="200"/>
        <w:jc w:val="left"/>
        <w:rPr>
          <w:rFonts w:cs="宋体" w:asciiTheme="minorEastAsia" w:hAnsiTheme="minorEastAsia"/>
          <w:color w:val="000000" w:themeColor="text1"/>
          <w:kern w:val="0"/>
          <w:szCs w:val="28"/>
          <w14:textFill>
            <w14:solidFill>
              <w14:schemeClr w14:val="tx1"/>
            </w14:solidFill>
          </w14:textFill>
        </w:rPr>
      </w:pPr>
      <w:r>
        <w:rPr>
          <w:rFonts w:hint="eastAsia" w:cs="宋体" w:asciiTheme="minorEastAsia" w:hAnsiTheme="minorEastAsia"/>
          <w:color w:val="000000" w:themeColor="text1"/>
          <w:kern w:val="0"/>
          <w:szCs w:val="28"/>
          <w14:textFill>
            <w14:solidFill>
              <w14:schemeClr w14:val="tx1"/>
            </w14:solidFill>
          </w14:textFill>
        </w:rPr>
        <w:t>2、获批国家级“一流课程”，每项奖励5万元。</w:t>
      </w:r>
    </w:p>
    <w:p>
      <w:pPr>
        <w:spacing w:line="360" w:lineRule="auto"/>
        <w:ind w:firstLine="560" w:firstLineChars="200"/>
        <w:jc w:val="left"/>
        <w:rPr>
          <w:rFonts w:cs="宋体" w:asciiTheme="minorEastAsia" w:hAnsiTheme="minorEastAsia"/>
          <w:color w:val="000000" w:themeColor="text1"/>
          <w:kern w:val="0"/>
          <w:szCs w:val="28"/>
          <w14:textFill>
            <w14:solidFill>
              <w14:schemeClr w14:val="tx1"/>
            </w14:solidFill>
          </w14:textFill>
        </w:rPr>
      </w:pPr>
      <w:r>
        <w:rPr>
          <w:rFonts w:hint="eastAsia" w:cs="宋体" w:asciiTheme="minorEastAsia" w:hAnsiTheme="minorEastAsia"/>
          <w:color w:val="000000" w:themeColor="text1"/>
          <w:kern w:val="0"/>
          <w:szCs w:val="28"/>
          <w14:textFill>
            <w14:solidFill>
              <w14:schemeClr w14:val="tx1"/>
            </w14:solidFill>
          </w14:textFill>
        </w:rPr>
        <w:t>3、其他教学科研奖励按教学科研成果分值计算办法执行。</w:t>
      </w:r>
    </w:p>
    <w:p>
      <w:pPr>
        <w:spacing w:line="360" w:lineRule="auto"/>
        <w:ind w:firstLine="562" w:firstLineChars="200"/>
        <w:jc w:val="left"/>
        <w:rPr>
          <w:rFonts w:cs="宋体" w:asciiTheme="minorEastAsia" w:hAnsiTheme="minorEastAsia"/>
          <w:b/>
          <w:bCs/>
          <w:color w:val="000000" w:themeColor="text1"/>
          <w:kern w:val="0"/>
          <w:szCs w:val="28"/>
          <w14:textFill>
            <w14:solidFill>
              <w14:schemeClr w14:val="tx1"/>
            </w14:solidFill>
          </w14:textFill>
        </w:rPr>
      </w:pPr>
      <w:r>
        <w:rPr>
          <w:rFonts w:hint="eastAsia" w:cs="宋体" w:asciiTheme="minorEastAsia" w:hAnsiTheme="minorEastAsia"/>
          <w:b/>
          <w:bCs/>
          <w:color w:val="000000" w:themeColor="text1"/>
          <w:kern w:val="0"/>
          <w:szCs w:val="28"/>
          <w14:textFill>
            <w14:solidFill>
              <w14:schemeClr w14:val="tx1"/>
            </w14:solidFill>
          </w14:textFill>
        </w:rPr>
        <w:t>四、其他规定</w:t>
      </w:r>
    </w:p>
    <w:p>
      <w:pPr>
        <w:spacing w:line="360" w:lineRule="auto"/>
        <w:ind w:firstLine="560" w:firstLineChars="200"/>
        <w:jc w:val="left"/>
        <w:rPr>
          <w:rFonts w:cs="宋体" w:asciiTheme="minorEastAsia" w:hAnsiTheme="minorEastAsia"/>
          <w:color w:val="000000" w:themeColor="text1"/>
          <w:kern w:val="0"/>
          <w:szCs w:val="28"/>
          <w14:textFill>
            <w14:solidFill>
              <w14:schemeClr w14:val="tx1"/>
            </w14:solidFill>
          </w14:textFill>
        </w:rPr>
      </w:pPr>
      <w:r>
        <w:rPr>
          <w:rFonts w:hint="eastAsia" w:cs="宋体" w:asciiTheme="minorEastAsia" w:hAnsiTheme="minorEastAsia"/>
          <w:color w:val="000000" w:themeColor="text1"/>
          <w:kern w:val="0"/>
          <w:szCs w:val="28"/>
          <w14:textFill>
            <w14:solidFill>
              <w14:schemeClr w14:val="tx1"/>
            </w14:solidFill>
          </w14:textFill>
        </w:rPr>
        <w:t>1、二级单位根据国家政策、学校规定和本单位实际制定本单位教学科研突出业绩奖励实施细则，经学院领导班子、教学指导与督导委员会、学术分委员会充分研究，教代会审议通过，并经人事处审核备案后执行。</w:t>
      </w:r>
    </w:p>
    <w:p>
      <w:pPr>
        <w:spacing w:line="360" w:lineRule="auto"/>
        <w:ind w:firstLine="560" w:firstLineChars="200"/>
        <w:jc w:val="left"/>
        <w:rPr>
          <w:rFonts w:cs="宋体" w:asciiTheme="minorEastAsia" w:hAnsiTheme="minorEastAsia"/>
          <w:color w:val="000000" w:themeColor="text1"/>
          <w:kern w:val="0"/>
          <w:szCs w:val="28"/>
          <w14:textFill>
            <w14:solidFill>
              <w14:schemeClr w14:val="tx1"/>
            </w14:solidFill>
          </w14:textFill>
        </w:rPr>
      </w:pPr>
      <w:r>
        <w:rPr>
          <w:rFonts w:hint="eastAsia" w:cs="宋体" w:asciiTheme="minorEastAsia" w:hAnsiTheme="minorEastAsia"/>
          <w:color w:val="000000" w:themeColor="text1"/>
          <w:kern w:val="0"/>
          <w:szCs w:val="28"/>
          <w14:textFill>
            <w14:solidFill>
              <w14:schemeClr w14:val="tx1"/>
            </w14:solidFill>
          </w14:textFill>
        </w:rPr>
        <w:t>2、二级单位制定教学科研奖励细则要以代表性、创新性教学科研成果为主，要力戒平均主义，同时不得以论文数、项目（经费）数、专利数、职称职级等作为分配依据。</w:t>
      </w:r>
    </w:p>
    <w:p>
      <w:pPr>
        <w:spacing w:line="360" w:lineRule="auto"/>
        <w:ind w:firstLine="562" w:firstLineChars="200"/>
        <w:jc w:val="left"/>
        <w:rPr>
          <w:rFonts w:cs="宋体" w:asciiTheme="minorEastAsia" w:hAnsiTheme="minorEastAsia"/>
          <w:b/>
          <w:bCs/>
          <w:color w:val="000000" w:themeColor="text1"/>
          <w:kern w:val="0"/>
          <w:szCs w:val="28"/>
          <w14:textFill>
            <w14:solidFill>
              <w14:schemeClr w14:val="tx1"/>
            </w14:solidFill>
          </w14:textFill>
        </w:rPr>
      </w:pPr>
      <w:r>
        <w:rPr>
          <w:rFonts w:hint="eastAsia" w:cs="宋体" w:asciiTheme="minorEastAsia" w:hAnsiTheme="minorEastAsia"/>
          <w:b/>
          <w:bCs/>
          <w:color w:val="000000" w:themeColor="text1"/>
          <w:kern w:val="0"/>
          <w:szCs w:val="28"/>
          <w14:textFill>
            <w14:solidFill>
              <w14:schemeClr w14:val="tx1"/>
            </w14:solidFill>
          </w14:textFill>
        </w:rPr>
        <w:t>五、监督与申诉</w:t>
      </w:r>
    </w:p>
    <w:p>
      <w:pPr>
        <w:spacing w:line="360" w:lineRule="auto"/>
        <w:ind w:firstLine="560" w:firstLineChars="200"/>
        <w:jc w:val="left"/>
        <w:rPr>
          <w:rFonts w:cs="宋体" w:asciiTheme="minorEastAsia" w:hAnsiTheme="minorEastAsia"/>
          <w:color w:val="000000" w:themeColor="text1"/>
          <w:kern w:val="0"/>
          <w:szCs w:val="28"/>
          <w14:textFill>
            <w14:solidFill>
              <w14:schemeClr w14:val="tx1"/>
            </w14:solidFill>
          </w14:textFill>
        </w:rPr>
      </w:pPr>
      <w:r>
        <w:rPr>
          <w:rFonts w:hint="eastAsia" w:cs="宋体" w:asciiTheme="minorEastAsia" w:hAnsiTheme="minorEastAsia"/>
          <w:color w:val="000000" w:themeColor="text1"/>
          <w:kern w:val="0"/>
          <w:szCs w:val="28"/>
          <w14:textFill>
            <w14:solidFill>
              <w14:schemeClr w14:val="tx1"/>
            </w14:solidFill>
          </w14:textFill>
        </w:rPr>
        <w:t>1、各单位应成立相应的教学科研业绩分配监督和仲裁工作小组，受理本单位教职工绩效分配的投诉和申诉。</w:t>
      </w:r>
    </w:p>
    <w:p>
      <w:pPr>
        <w:spacing w:line="360" w:lineRule="auto"/>
        <w:ind w:firstLine="560" w:firstLineChars="200"/>
        <w:jc w:val="left"/>
        <w:rPr>
          <w:rFonts w:cs="宋体" w:asciiTheme="minorEastAsia" w:hAnsiTheme="minorEastAsia"/>
          <w:color w:val="000000" w:themeColor="text1"/>
          <w:kern w:val="0"/>
          <w:szCs w:val="28"/>
          <w14:textFill>
            <w14:solidFill>
              <w14:schemeClr w14:val="tx1"/>
            </w14:solidFill>
          </w14:textFill>
        </w:rPr>
      </w:pPr>
      <w:r>
        <w:rPr>
          <w:rFonts w:hint="eastAsia" w:cs="宋体" w:asciiTheme="minorEastAsia" w:hAnsiTheme="minorEastAsia"/>
          <w:color w:val="000000" w:themeColor="text1"/>
          <w:kern w:val="0"/>
          <w:szCs w:val="28"/>
          <w14:textFill>
            <w14:solidFill>
              <w14:schemeClr w14:val="tx1"/>
            </w14:solidFill>
          </w14:textFill>
        </w:rPr>
        <w:t>2、学校成立由校纪委、监察办公室牵头，组织、人事、工会等单位负责同志参加的教学科研业绩分配监督工作小组，负责对各单位仲裁意见的复议和审定。</w:t>
      </w:r>
    </w:p>
    <w:p>
      <w:r>
        <w:rPr>
          <w:rFonts w:hint="eastAsia" w:cs="宋体" w:asciiTheme="minorEastAsia" w:hAnsiTheme="minorEastAsia"/>
          <w:b/>
          <w:bCs/>
          <w:color w:val="000000" w:themeColor="text1"/>
          <w:kern w:val="0"/>
          <w:szCs w:val="28"/>
          <w14:textFill>
            <w14:solidFill>
              <w14:schemeClr w14:val="tx1"/>
            </w14:solidFill>
          </w14:textFill>
        </w:rPr>
        <w:t>六、本办法由人事处负责解释。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BD00B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8"/>
      <w:szCs w:val="22"/>
      <w:lang w:val="en-US" w:eastAsia="zh-CN" w:bidi="ar-SA"/>
    </w:rPr>
  </w:style>
  <w:style w:type="paragraph" w:styleId="2">
    <w:name w:val="heading 1"/>
    <w:basedOn w:val="1"/>
    <w:next w:val="1"/>
    <w:qFormat/>
    <w:uiPriority w:val="9"/>
    <w:pPr>
      <w:keepNext/>
      <w:keepLines/>
      <w:spacing w:before="340" w:after="330" w:line="578" w:lineRule="auto"/>
      <w:jc w:val="center"/>
      <w:outlineLvl w:val="0"/>
    </w:pPr>
    <w:rPr>
      <w:rFonts w:eastAsiaTheme="majorEastAsia"/>
      <w:b/>
      <w:bCs/>
      <w:kern w:val="44"/>
      <w:sz w:val="30"/>
      <w:szCs w:val="44"/>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2020-12-07T03:40:15Z</dcterms:created>
  <dc:creator>Administrator</dc:creator>
  <cp:lastModifiedBy>張毅</cp:lastModifiedBy>
  <dcterms:modified xsi:type="dcterms:W3CDTF">2020-12-07T03:40:29Z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