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431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附件1：</w:t>
      </w:r>
    </w:p>
    <w:p>
      <w:pPr>
        <w:pStyle w:val="2"/>
      </w:pPr>
      <w:r>
        <w:rPr>
          <w:rFonts w:hint="eastAsia"/>
        </w:rPr>
        <w:t>合肥工业大学单位和个人年度考核办法</w:t>
      </w:r>
      <w:bookmarkEnd w:id="0"/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根据国家、部省有关文件精神，按照《教育部关于深化高校教师考核评价制度改革的指导意见》要求，为健全和完善学校人事考核制度，认真总结单位和个人在教学、科研、人才培养、学科建设等方面的工作，坚持公开、公平、公正的原则，客观评价单位工作成效、教职工的德才表现和工作业绩，调动各单位领导班子及广大教职工的工作积极性，特制定本考核办法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一、考核时间段、类别和考核对象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1.考核时间段：每年度的1月1日至12月31日。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2.考核对象：单位、个人。单位考核的对象是全校各二级单位；个人考核的对象是在职教职工。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 单位考核类别：学院（部、中心）、机关党群部门、直附属单位。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二、单位年度考核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1.对学院（部、中心）及其领导班子年度考核依据《合肥工业大学学院（部、中心）领导班子年度考核工作实施意见（试行）》。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2.机关党群部门、直附属单位年度考核分若干小组，采取述职答辩方式。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3.经营性直附属单位（如建筑设计院、出版社）考核由资产经营公司负责组织。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4.资产经营公司、智能制造技术研究院、共达职业技术学院、附属中学不参加学校答辩，由组织、人事部门负责组织实施考核，提出考核意见，报学校审定。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5.汽车工程技术研究院由科研院会同组织、人事部门组织考核，报学校审定；工业与装备技术研究院纳入机械工程学院考核，光电技术研究院纳入仪器科学与光电工程学院考核。</w:t>
      </w:r>
      <w:bookmarkStart w:id="1" w:name="_GoBack"/>
      <w:bookmarkEnd w:id="1"/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b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6.宣城校区各部门的考核，由宣城校区管委会负责组织实施，提出考核意见，报学校审定。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三、个人年度考核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个人考核从德、勤、能、绩、廉几个方面进行，考核等次为优秀、称职、基本称职、不称职。其中教师系列岗位人员需考核教学工作、科研工作和公益工作的履职情况，其优秀等次评定重点考核其师德、公益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1.校级领导干部的考核按照教育部有关规定执行。</w:t>
      </w:r>
    </w:p>
    <w:p>
      <w:pPr>
        <w:widowControl/>
        <w:spacing w:line="560" w:lineRule="exact"/>
        <w:ind w:firstLine="420" w:firstLineChars="15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 xml:space="preserve"> 2.中层领导干部具体考核办法按照《合肥工业大学处级干部年度考核办法》执行。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3.各学院（部、中心）、机关党群部门、直附属单位的其他人员由各二级单位负责组织考核。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4.教师考核的基本要求依据《合肥工业大学教师年度考核基本要求（试行）》。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5.实验室技术人员考核要求由各单位自行制订，上报人事部门批准后实施。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6.各单位考核实施细则要经本单位教职工代表大会通过后实施。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7.各单位的个人优秀比例为15%。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四、考核工作的组织领导和分工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考核工作在学校党委的统一领导下，由组织部、人事部具体组织实施全校的考核工作。各二级单位成立考核工作小组，按照学校的统一部署和要求组织本单位的考核工作。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1.学校成立考核领导小组，组织、指导、监督全校年度考核工作，负责对单位考核和个人考核结果进行初步审定，负责对考核工作中出现的争议、申诉等问题进行处理。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2.各二级单位成立本单位考核工作小组，由单位主要负责人任组长，负责组织实施本单位人员的考核工作。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五、考核流程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1.学校向各单位布置考核工作。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2.各单位布置本单位考核工作，传达学校年度考核文件。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3.各单位将年度工作总结和考核简表交组织部、人事部（书面和电子文档各一份）。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4.学校将各单位年度工作总结在校园网上公示。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5.学校组织开展各二级单位测评考核。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6.各单位完成个人考核。对于考核结果为基本称职和不称职的职工要出具书面说明报学校（附个人年度考核表复印件）。</w:t>
      </w:r>
    </w:p>
    <w:p>
      <w:pPr>
        <w:widowControl/>
        <w:spacing w:line="560" w:lineRule="exact"/>
        <w:ind w:firstLine="540"/>
        <w:jc w:val="left"/>
      </w:pPr>
      <w:r>
        <w:rPr>
          <w:rFonts w:hint="eastAsia" w:cs="宋体" w:asciiTheme="minorEastAsia" w:hAnsiTheme="minorEastAsia"/>
          <w:iCs/>
          <w:kern w:val="0"/>
          <w:szCs w:val="28"/>
        </w:rPr>
        <w:t>7.学校确定和反馈各二级单位和个人考核结果，并进行公示。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61BDE"/>
    <w:rsid w:val="47F9293F"/>
    <w:rsid w:val="5B7E32A1"/>
    <w:rsid w:val="61BA10BE"/>
    <w:rsid w:val="67882B85"/>
    <w:rsid w:val="6E9B13A3"/>
    <w:rsid w:val="7C94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2020-12-07T03:14:00Z</dcterms:created>
  <dc:creator>Administrator</dc:creator>
  <cp:lastModifiedBy>張毅</cp:lastModifiedBy>
  <dcterms:modified xsi:type="dcterms:W3CDTF">2020-12-07T05:49:38Z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