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b/>
          <w:bCs/>
          <w:sz w:val="24"/>
          <w:szCs w:val="36"/>
          <w:lang w:val="en-US" w:eastAsia="zh-CN"/>
        </w:rPr>
      </w:pPr>
      <w:bookmarkStart w:id="0" w:name="_Toc21520"/>
      <w:r>
        <w:rPr>
          <w:rFonts w:hint="eastAsia" w:ascii="黑体" w:hAnsi="黑体" w:eastAsia="黑体" w:cs="黑体"/>
          <w:b/>
          <w:bCs/>
          <w:sz w:val="24"/>
          <w:szCs w:val="36"/>
          <w:lang w:val="en-US" w:eastAsia="zh-CN"/>
        </w:rPr>
        <w:t>附件3：</w:t>
      </w:r>
    </w:p>
    <w:p>
      <w:pPr>
        <w:pStyle w:val="2"/>
      </w:pPr>
      <w:r>
        <w:rPr>
          <w:rFonts w:hint="eastAsia"/>
        </w:rPr>
        <w:t>合肥工业大学学院（部、中心）领导班子年度考核工作实施意见（试行）</w:t>
      </w:r>
      <w:bookmarkEnd w:id="0"/>
    </w:p>
    <w:p>
      <w:pPr>
        <w:spacing w:line="360" w:lineRule="auto"/>
        <w:ind w:firstLine="560" w:firstLineChars="200"/>
        <w:rPr>
          <w:rFonts w:ascii="宋体" w:hAnsi="宋体"/>
          <w:szCs w:val="28"/>
        </w:rPr>
      </w:pPr>
      <w:r>
        <w:rPr>
          <w:rFonts w:hint="eastAsia" w:ascii="宋体" w:hAnsi="宋体"/>
          <w:szCs w:val="28"/>
        </w:rPr>
        <w:t>为进一步做好学院（部、中心）年度考核工作，根据《合肥工业大学目标管理责任制实施办法》（暂行）的规定，特制定本办法。</w:t>
      </w:r>
    </w:p>
    <w:p>
      <w:pPr>
        <w:spacing w:line="360" w:lineRule="auto"/>
        <w:ind w:firstLine="562" w:firstLineChars="200"/>
        <w:rPr>
          <w:rFonts w:ascii="宋体" w:hAnsi="宋体"/>
          <w:szCs w:val="28"/>
        </w:rPr>
      </w:pPr>
      <w:r>
        <w:rPr>
          <w:rFonts w:hint="eastAsia" w:ascii="宋体" w:hAnsi="宋体"/>
          <w:b/>
          <w:szCs w:val="28"/>
        </w:rPr>
        <w:t>一、考核原则</w:t>
      </w:r>
    </w:p>
    <w:p>
      <w:pPr>
        <w:spacing w:line="360" w:lineRule="auto"/>
        <w:ind w:firstLine="560" w:firstLineChars="200"/>
        <w:rPr>
          <w:rFonts w:ascii="宋体" w:hAnsi="宋体"/>
          <w:szCs w:val="28"/>
        </w:rPr>
      </w:pPr>
      <w:r>
        <w:rPr>
          <w:rFonts w:hint="eastAsia" w:ascii="宋体" w:hAnsi="宋体"/>
          <w:szCs w:val="28"/>
        </w:rPr>
        <w:t>1、坚持分项与整体考核相结合、以整体考核为主，突出实绩的原则。</w:t>
      </w:r>
    </w:p>
    <w:p>
      <w:pPr>
        <w:spacing w:line="360" w:lineRule="auto"/>
        <w:ind w:firstLine="560" w:firstLineChars="200"/>
        <w:rPr>
          <w:rFonts w:ascii="宋体" w:hAnsi="宋体"/>
          <w:szCs w:val="28"/>
        </w:rPr>
      </w:pPr>
      <w:r>
        <w:rPr>
          <w:rFonts w:hint="eastAsia" w:ascii="宋体" w:hAnsi="宋体"/>
          <w:szCs w:val="28"/>
        </w:rPr>
        <w:t>2、坚持定性与定量考核相结合、以定量考核为主，突出标志性成果的原则。</w:t>
      </w:r>
    </w:p>
    <w:p>
      <w:pPr>
        <w:spacing w:line="360" w:lineRule="auto"/>
        <w:ind w:firstLine="560" w:firstLineChars="200"/>
        <w:rPr>
          <w:rFonts w:ascii="宋体" w:hAnsi="宋体"/>
          <w:szCs w:val="28"/>
        </w:rPr>
      </w:pPr>
      <w:r>
        <w:rPr>
          <w:rFonts w:hint="eastAsia" w:ascii="宋体" w:hAnsi="宋体"/>
          <w:szCs w:val="28"/>
        </w:rPr>
        <w:t>3、坚持公开、公平、公正的原则。</w:t>
      </w:r>
    </w:p>
    <w:p>
      <w:pPr>
        <w:spacing w:line="360" w:lineRule="auto"/>
        <w:ind w:firstLine="560" w:firstLineChars="200"/>
        <w:rPr>
          <w:rFonts w:ascii="宋体" w:hAnsi="宋体"/>
          <w:szCs w:val="28"/>
        </w:rPr>
      </w:pPr>
      <w:r>
        <w:rPr>
          <w:rFonts w:hint="eastAsia" w:ascii="宋体" w:hAnsi="宋体"/>
          <w:szCs w:val="28"/>
        </w:rPr>
        <w:t>4、坚持差异性原则，兼顾教学科研型和教学型两种学院类型。</w:t>
      </w:r>
    </w:p>
    <w:p>
      <w:pPr>
        <w:spacing w:line="360" w:lineRule="auto"/>
        <w:ind w:firstLine="562" w:firstLineChars="200"/>
        <w:rPr>
          <w:rFonts w:ascii="宋体" w:hAnsi="宋体"/>
          <w:szCs w:val="28"/>
        </w:rPr>
      </w:pPr>
      <w:r>
        <w:rPr>
          <w:rFonts w:hint="eastAsia" w:ascii="宋体" w:hAnsi="宋体"/>
          <w:b/>
          <w:szCs w:val="28"/>
        </w:rPr>
        <w:t>二、考核内容</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、对于单位测评，主要有党建思想政治与管理工作、人才培养工作、科研工作、研究生与学科工作、师资队伍建设工作、学生工作、国际化工作、行政管理工作目标等</w:t>
      </w:r>
      <w:r>
        <w:rPr>
          <w:rFonts w:hint="eastAsia" w:ascii="宋体" w:hAnsi="宋体"/>
          <w:szCs w:val="28"/>
          <w:lang w:val="en-US" w:eastAsia="zh-CN"/>
        </w:rPr>
        <w:t>九</w:t>
      </w:r>
      <w:r>
        <w:rPr>
          <w:rFonts w:hint="eastAsia" w:ascii="宋体" w:hAnsi="宋体"/>
          <w:szCs w:val="28"/>
        </w:rPr>
        <w:t>项考察指标，考核《学院（部、中心）年度目标考核要求》中明确的内容。</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、对于班子评价，教学科研型学院主要有党建与思政工作、教学工作、人才工作、科研工作、学生工作、</w:t>
      </w:r>
      <w:r>
        <w:rPr>
          <w:rFonts w:ascii="宋体" w:hAnsi="宋体"/>
          <w:szCs w:val="28"/>
        </w:rPr>
        <w:t>行政工作等</w:t>
      </w:r>
      <w:r>
        <w:rPr>
          <w:rFonts w:hint="eastAsia" w:ascii="宋体" w:hAnsi="宋体"/>
          <w:szCs w:val="28"/>
        </w:rPr>
        <w:t>六项关键指标，教学型学院主要有党建与思政工作、教学工作、师资工作、教研工作、学生工作、</w:t>
      </w:r>
      <w:r>
        <w:rPr>
          <w:rFonts w:ascii="宋体" w:hAnsi="宋体"/>
          <w:szCs w:val="28"/>
        </w:rPr>
        <w:t>行政工作等</w:t>
      </w:r>
      <w:r>
        <w:rPr>
          <w:rFonts w:hint="eastAsia" w:ascii="宋体" w:hAnsi="宋体"/>
          <w:szCs w:val="28"/>
        </w:rPr>
        <w:t>六项关键指标。</w:t>
      </w:r>
    </w:p>
    <w:p>
      <w:pPr>
        <w:spacing w:line="360" w:lineRule="auto"/>
        <w:ind w:firstLine="554" w:firstLineChars="197"/>
        <w:rPr>
          <w:rFonts w:ascii="宋体" w:hAnsi="宋体"/>
          <w:b/>
          <w:szCs w:val="28"/>
        </w:rPr>
      </w:pPr>
      <w:r>
        <w:rPr>
          <w:rFonts w:hint="eastAsia" w:ascii="宋体" w:hAnsi="宋体"/>
          <w:b/>
          <w:szCs w:val="28"/>
        </w:rPr>
        <w:t>三、考核办法</w:t>
      </w:r>
    </w:p>
    <w:p>
      <w:pPr>
        <w:spacing w:line="360" w:lineRule="auto"/>
        <w:ind w:firstLine="560" w:firstLineChars="200"/>
        <w:rPr>
          <w:rFonts w:ascii="宋体" w:hAnsi="宋体"/>
          <w:szCs w:val="28"/>
        </w:rPr>
      </w:pPr>
      <w:r>
        <w:rPr>
          <w:rFonts w:hint="eastAsia" w:ascii="宋体" w:hAnsi="宋体"/>
          <w:szCs w:val="28"/>
        </w:rPr>
        <w:t>1、对于学院领导班子的考核采取单位测评和班子评价的方式，单位测评占40%，班子评价占60%。</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w:t>
      </w:r>
      <w:r>
        <w:rPr>
          <w:rFonts w:ascii="宋体" w:hAnsi="宋体"/>
          <w:szCs w:val="28"/>
        </w:rPr>
        <w:t>单位测评由</w:t>
      </w:r>
      <w:r>
        <w:rPr>
          <w:rFonts w:hint="eastAsia" w:ascii="宋体" w:hAnsi="宋体"/>
          <w:szCs w:val="28"/>
          <w:lang w:val="en-US" w:eastAsia="zh-CN"/>
        </w:rPr>
        <w:t>九</w:t>
      </w:r>
      <w:r>
        <w:rPr>
          <w:rFonts w:hint="eastAsia" w:ascii="宋体" w:hAnsi="宋体"/>
          <w:szCs w:val="28"/>
        </w:rPr>
        <w:t>项考察</w:t>
      </w:r>
      <w:r>
        <w:rPr>
          <w:rFonts w:ascii="宋体" w:hAnsi="宋体"/>
          <w:szCs w:val="28"/>
        </w:rPr>
        <w:t>指标</w:t>
      </w:r>
      <w:r>
        <w:rPr>
          <w:rFonts w:hint="eastAsia" w:ascii="宋体" w:hAnsi="宋体"/>
          <w:szCs w:val="28"/>
        </w:rPr>
        <w:t>归口的相关职能部门按任务完成情况进行打分排序，单项考核结果分为“A”、“B”、“C”、“D”四个等级</w:t>
      </w:r>
      <w:r>
        <w:rPr>
          <w:rFonts w:ascii="宋体" w:hAnsi="宋体"/>
          <w:szCs w:val="28"/>
        </w:rPr>
        <w:t>。</w:t>
      </w:r>
      <w:r>
        <w:rPr>
          <w:rFonts w:hint="eastAsia" w:ascii="宋体" w:hAnsi="宋体"/>
          <w:szCs w:val="28"/>
        </w:rPr>
        <w:t>“A”为优秀</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85-100分；</w:t>
      </w:r>
      <w:r>
        <w:rPr>
          <w:rFonts w:ascii="宋体" w:hAnsi="宋体"/>
          <w:szCs w:val="28"/>
        </w:rPr>
        <w:t>“B”</w:t>
      </w:r>
      <w:r>
        <w:rPr>
          <w:rFonts w:hint="eastAsia" w:ascii="宋体" w:hAnsi="宋体"/>
          <w:szCs w:val="28"/>
        </w:rPr>
        <w:t>为良好</w:t>
      </w:r>
      <w:r>
        <w:rPr>
          <w:rFonts w:ascii="宋体" w:hAnsi="宋体"/>
          <w:szCs w:val="28"/>
        </w:rPr>
        <w:t>，</w:t>
      </w:r>
      <w:r>
        <w:rPr>
          <w:rFonts w:hint="eastAsia" w:ascii="宋体" w:hAnsi="宋体"/>
          <w:szCs w:val="28"/>
        </w:rPr>
        <w:t>对应</w:t>
      </w:r>
      <w:r>
        <w:rPr>
          <w:rFonts w:ascii="宋体" w:hAnsi="宋体"/>
          <w:szCs w:val="28"/>
        </w:rPr>
        <w:t>分数为70</w:t>
      </w:r>
      <w:r>
        <w:rPr>
          <w:rFonts w:hint="eastAsia" w:ascii="宋体" w:hAnsi="宋体"/>
          <w:szCs w:val="28"/>
        </w:rPr>
        <w:t>-</w:t>
      </w:r>
      <w:r>
        <w:rPr>
          <w:rFonts w:ascii="宋体" w:hAnsi="宋体"/>
          <w:szCs w:val="28"/>
        </w:rPr>
        <w:t>85</w:t>
      </w:r>
      <w:r>
        <w:rPr>
          <w:rFonts w:hint="eastAsia" w:ascii="宋体" w:hAnsi="宋体"/>
          <w:szCs w:val="28"/>
        </w:rPr>
        <w:t>分；“</w:t>
      </w:r>
      <w:r>
        <w:rPr>
          <w:rFonts w:ascii="宋体" w:hAnsi="宋体"/>
          <w:szCs w:val="28"/>
        </w:rPr>
        <w:t>C</w:t>
      </w:r>
      <w:r>
        <w:rPr>
          <w:rFonts w:hint="eastAsia" w:ascii="宋体" w:hAnsi="宋体"/>
          <w:szCs w:val="28"/>
        </w:rPr>
        <w:t>”为中等</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60-70分</w:t>
      </w:r>
      <w:r>
        <w:rPr>
          <w:rFonts w:ascii="宋体" w:hAnsi="宋体"/>
          <w:szCs w:val="28"/>
        </w:rPr>
        <w:t>；</w:t>
      </w:r>
      <w:r>
        <w:rPr>
          <w:rFonts w:hint="eastAsia" w:ascii="宋体" w:hAnsi="宋体"/>
          <w:szCs w:val="28"/>
        </w:rPr>
        <w:t>“</w:t>
      </w:r>
      <w:r>
        <w:rPr>
          <w:rFonts w:ascii="宋体" w:hAnsi="宋体"/>
          <w:szCs w:val="28"/>
        </w:rPr>
        <w:t>D</w:t>
      </w:r>
      <w:r>
        <w:rPr>
          <w:rFonts w:hint="eastAsia" w:ascii="宋体" w:hAnsi="宋体"/>
          <w:szCs w:val="28"/>
        </w:rPr>
        <w:t>”为差</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60分以下。</w:t>
      </w:r>
    </w:p>
    <w:p>
      <w:pPr>
        <w:spacing w:line="360" w:lineRule="auto"/>
        <w:ind w:firstLine="560" w:firstLineChars="200"/>
        <w:rPr>
          <w:rFonts w:ascii="宋体" w:hAnsi="宋体"/>
          <w:szCs w:val="28"/>
        </w:rPr>
      </w:pPr>
      <w:r>
        <w:rPr>
          <w:rFonts w:hint="eastAsia" w:ascii="宋体" w:hAnsi="宋体"/>
          <w:szCs w:val="28"/>
        </w:rPr>
        <w:t>3、班子测评是由单位根据六项关键指标完成情况进行述职答辩，学校考核领导小组结合单位测评结果</w:t>
      </w:r>
      <w:r>
        <w:rPr>
          <w:rFonts w:hint="eastAsia" w:ascii="宋体" w:hAnsi="宋体" w:cs="宋体"/>
          <w:iCs/>
          <w:kern w:val="0"/>
          <w:szCs w:val="28"/>
        </w:rPr>
        <w:t>及六项指标评估进行打分排序。</w:t>
      </w:r>
    </w:p>
    <w:p>
      <w:pPr>
        <w:spacing w:line="360" w:lineRule="auto"/>
        <w:ind w:firstLine="562" w:firstLineChars="200"/>
        <w:rPr>
          <w:rFonts w:ascii="宋体" w:hAnsi="宋体"/>
          <w:szCs w:val="28"/>
        </w:rPr>
      </w:pPr>
      <w:r>
        <w:rPr>
          <w:rFonts w:hint="eastAsia" w:ascii="宋体" w:hAnsi="宋体"/>
          <w:b/>
          <w:szCs w:val="28"/>
        </w:rPr>
        <w:t>四、考核等级</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、学院（部、中心）领导班子考核等级分为优秀、合格、不合格三个等级。</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、领导班子为优秀的单位不超过5个。</w:t>
      </w:r>
    </w:p>
    <w:p>
      <w:pPr>
        <w:spacing w:line="360" w:lineRule="auto"/>
        <w:ind w:firstLine="560" w:firstLineChars="200"/>
        <w:rPr>
          <w:rFonts w:ascii="宋体" w:hAnsi="宋体"/>
          <w:szCs w:val="28"/>
        </w:rPr>
      </w:pPr>
      <w:r>
        <w:rPr>
          <w:rFonts w:ascii="宋体" w:hAnsi="宋体"/>
          <w:szCs w:val="28"/>
        </w:rPr>
        <w:t>3</w:t>
      </w:r>
      <w:r>
        <w:rPr>
          <w:rFonts w:hint="eastAsia" w:ascii="宋体" w:hAnsi="宋体"/>
          <w:szCs w:val="28"/>
        </w:rPr>
        <w:t>、如有下列情况之一者，该领导班子考核不得为优秀。</w:t>
      </w:r>
    </w:p>
    <w:p>
      <w:pPr>
        <w:spacing w:line="360" w:lineRule="auto"/>
        <w:ind w:firstLine="560" w:firstLineChars="200"/>
        <w:rPr>
          <w:rFonts w:ascii="宋体" w:hAnsi="宋体"/>
          <w:szCs w:val="28"/>
        </w:rPr>
      </w:pPr>
      <w:r>
        <w:rPr>
          <w:rFonts w:hint="eastAsia" w:ascii="宋体" w:hAnsi="宋体"/>
          <w:szCs w:val="28"/>
        </w:rPr>
        <w:t>（1</w:t>
      </w:r>
      <w:r>
        <w:rPr>
          <w:rFonts w:ascii="宋体" w:hAnsi="宋体"/>
          <w:szCs w:val="28"/>
        </w:rPr>
        <w:t>）</w:t>
      </w:r>
      <w:r>
        <w:rPr>
          <w:rFonts w:hint="eastAsia" w:ascii="宋体" w:hAnsi="宋体"/>
          <w:szCs w:val="28"/>
        </w:rPr>
        <w:t>未完成本科教学任务的单位。</w:t>
      </w:r>
    </w:p>
    <w:p>
      <w:pPr>
        <w:spacing w:line="360" w:lineRule="auto"/>
        <w:ind w:firstLine="560" w:firstLineChars="200"/>
        <w:rPr>
          <w:rFonts w:ascii="宋体" w:hAnsi="宋体"/>
          <w:szCs w:val="28"/>
        </w:rPr>
      </w:pPr>
      <w:r>
        <w:rPr>
          <w:rFonts w:hint="eastAsia" w:ascii="宋体" w:hAnsi="宋体"/>
          <w:szCs w:val="28"/>
        </w:rPr>
        <w:t>（2</w:t>
      </w:r>
      <w:r>
        <w:rPr>
          <w:rFonts w:ascii="宋体" w:hAnsi="宋体"/>
          <w:szCs w:val="28"/>
        </w:rPr>
        <w:t>）</w:t>
      </w:r>
      <w:r>
        <w:rPr>
          <w:rFonts w:hint="eastAsia" w:ascii="宋体" w:hAnsi="宋体"/>
          <w:szCs w:val="28"/>
        </w:rPr>
        <w:t>发生重大责任事件的单位。</w:t>
      </w:r>
    </w:p>
    <w:p>
      <w:pPr>
        <w:spacing w:line="360" w:lineRule="auto"/>
        <w:ind w:firstLine="560" w:firstLineChars="200"/>
        <w:rPr>
          <w:rFonts w:ascii="宋体" w:hAnsi="宋体"/>
          <w:szCs w:val="28"/>
        </w:rPr>
      </w:pPr>
      <w:r>
        <w:rPr>
          <w:rFonts w:hint="eastAsia" w:ascii="宋体" w:hAnsi="宋体"/>
          <w:szCs w:val="28"/>
        </w:rPr>
        <w:t>（3</w:t>
      </w:r>
      <w:r>
        <w:rPr>
          <w:rFonts w:ascii="宋体" w:hAnsi="宋体"/>
          <w:szCs w:val="28"/>
        </w:rPr>
        <w:t>）</w:t>
      </w:r>
      <w:r>
        <w:rPr>
          <w:rFonts w:hint="eastAsia" w:ascii="宋体" w:hAnsi="宋体"/>
          <w:szCs w:val="28"/>
        </w:rPr>
        <w:t>造成学校声誉或经济的重大损失的单位。</w:t>
      </w:r>
    </w:p>
    <w:p>
      <w:pPr>
        <w:spacing w:line="360" w:lineRule="auto"/>
        <w:ind w:firstLine="560" w:firstLineChars="200"/>
        <w:rPr>
          <w:rFonts w:ascii="宋体" w:hAnsi="宋体"/>
          <w:szCs w:val="28"/>
        </w:rPr>
      </w:pPr>
      <w:r>
        <w:rPr>
          <w:rFonts w:hint="eastAsia" w:ascii="宋体" w:hAnsi="宋体"/>
          <w:szCs w:val="28"/>
        </w:rPr>
        <w:t>（4</w:t>
      </w:r>
      <w:r>
        <w:rPr>
          <w:rFonts w:ascii="宋体" w:hAnsi="宋体"/>
          <w:szCs w:val="28"/>
        </w:rPr>
        <w:t>）</w:t>
      </w:r>
      <w:r>
        <w:rPr>
          <w:rFonts w:hint="eastAsia" w:ascii="宋体" w:hAnsi="宋体"/>
          <w:szCs w:val="28"/>
        </w:rPr>
        <w:t>廉政建设、意识形态、保密、安全稳定出现重大问题的单位。</w:t>
      </w:r>
    </w:p>
    <w:p>
      <w:pPr>
        <w:spacing w:line="360" w:lineRule="auto"/>
        <w:ind w:firstLine="560" w:firstLineChars="200"/>
        <w:rPr>
          <w:rFonts w:ascii="宋体" w:hAnsi="宋体"/>
          <w:szCs w:val="28"/>
        </w:rPr>
      </w:pPr>
      <w:r>
        <w:rPr>
          <w:rFonts w:hint="eastAsia" w:ascii="宋体" w:hAnsi="宋体"/>
          <w:szCs w:val="28"/>
        </w:rPr>
        <w:t>（5</w:t>
      </w:r>
      <w:r>
        <w:rPr>
          <w:rFonts w:ascii="宋体" w:hAnsi="宋体"/>
          <w:szCs w:val="28"/>
        </w:rPr>
        <w:t>）</w:t>
      </w:r>
      <w:r>
        <w:rPr>
          <w:rFonts w:hint="eastAsia" w:ascii="宋体" w:hAnsi="宋体"/>
          <w:szCs w:val="28"/>
        </w:rPr>
        <w:t>经学校认定的其他责任事故单位。</w:t>
      </w:r>
    </w:p>
    <w:p>
      <w:pPr>
        <w:spacing w:line="360" w:lineRule="auto"/>
        <w:ind w:firstLine="562" w:firstLineChars="200"/>
        <w:rPr>
          <w:rFonts w:ascii="宋体" w:hAnsi="宋体"/>
          <w:b/>
          <w:szCs w:val="28"/>
        </w:rPr>
      </w:pPr>
      <w:r>
        <w:rPr>
          <w:rFonts w:hint="eastAsia" w:ascii="宋体" w:hAnsi="宋体"/>
          <w:b/>
          <w:szCs w:val="28"/>
        </w:rPr>
        <w:t>五、考核程序</w:t>
      </w:r>
    </w:p>
    <w:p>
      <w:pPr>
        <w:spacing w:line="360" w:lineRule="auto"/>
        <w:ind w:firstLine="560" w:firstLineChars="200"/>
        <w:rPr>
          <w:rFonts w:ascii="宋体" w:hAnsi="宋体" w:cs="宋体"/>
          <w:iCs/>
          <w:kern w:val="0"/>
          <w:szCs w:val="28"/>
        </w:rPr>
      </w:pPr>
      <w:r>
        <w:rPr>
          <w:rFonts w:hint="eastAsia" w:ascii="宋体" w:hAnsi="宋体" w:cs="宋体"/>
          <w:iCs/>
          <w:kern w:val="0"/>
          <w:szCs w:val="28"/>
        </w:rPr>
        <w:t>1、单位自评。各学院（部、中心）根据年度目标任务指标完成情况进行自评，在充分征求基层党支部意见基础上，向学校提交领导班子自评报告。自评报告主要阐述领导班子主要开展的工作、六项关键指标的完成情况、年度工作亮点、存在的主要问题等，要求言简意赅，层次分明。填写《合肥工业大学学院（部、中心）年度业绩简表》。</w:t>
      </w:r>
    </w:p>
    <w:p>
      <w:pPr>
        <w:spacing w:line="360" w:lineRule="auto"/>
        <w:ind w:firstLine="560" w:firstLineChars="200"/>
        <w:rPr>
          <w:rFonts w:ascii="宋体" w:hAnsi="宋体" w:cs="宋体"/>
          <w:iCs/>
          <w:kern w:val="0"/>
          <w:szCs w:val="28"/>
        </w:rPr>
      </w:pPr>
      <w:r>
        <w:rPr>
          <w:rFonts w:hint="eastAsia" w:ascii="宋体" w:hAnsi="宋体" w:cs="宋体"/>
          <w:iCs/>
          <w:kern w:val="0"/>
          <w:szCs w:val="28"/>
        </w:rPr>
        <w:t>2、学校测评。</w:t>
      </w:r>
      <w:r>
        <w:rPr>
          <w:rFonts w:hint="eastAsia" w:ascii="宋体" w:hAnsi="宋体" w:cs="宋体"/>
          <w:iCs/>
          <w:kern w:val="0"/>
          <w:szCs w:val="28"/>
          <w:lang w:val="en-US" w:eastAsia="zh-CN"/>
        </w:rPr>
        <w:t>九</w:t>
      </w:r>
      <w:r>
        <w:rPr>
          <w:rFonts w:hint="eastAsia" w:ascii="宋体" w:hAnsi="宋体" w:cs="宋体"/>
          <w:iCs/>
          <w:kern w:val="0"/>
          <w:szCs w:val="28"/>
        </w:rPr>
        <w:t>项考察指标由相关职能部门根据目标体系指标打分排序,并给出</w:t>
      </w:r>
      <w:r>
        <w:rPr>
          <w:rFonts w:hint="eastAsia" w:ascii="宋体" w:hAnsi="宋体"/>
          <w:szCs w:val="28"/>
        </w:rPr>
        <w:t>“A”、“B”、“C”、“D”四个等级</w:t>
      </w:r>
      <w:r>
        <w:rPr>
          <w:rFonts w:hint="eastAsia" w:ascii="宋体" w:hAnsi="宋体" w:cs="宋体"/>
          <w:iCs/>
          <w:kern w:val="0"/>
          <w:szCs w:val="28"/>
        </w:rPr>
        <w:t>，各项指标打分结果由党委组织部汇总提交学校考核领导小组。</w:t>
      </w:r>
    </w:p>
    <w:p>
      <w:pPr>
        <w:spacing w:line="360" w:lineRule="auto"/>
        <w:ind w:firstLine="560" w:firstLineChars="200"/>
        <w:rPr>
          <w:rFonts w:ascii="宋体" w:hAnsi="宋体" w:cs="宋体"/>
          <w:iCs/>
          <w:kern w:val="0"/>
          <w:szCs w:val="28"/>
        </w:rPr>
      </w:pPr>
      <w:r>
        <w:rPr>
          <w:rFonts w:hint="eastAsia" w:ascii="宋体" w:hAnsi="宋体" w:cs="宋体"/>
          <w:iCs/>
          <w:kern w:val="0"/>
          <w:szCs w:val="28"/>
        </w:rPr>
        <w:t>3、答辩评价。学校考核领导小组听取学院班子述职答辩，并根据测评结果进行综合打分排序，拟定优秀班子建议名单。</w:t>
      </w:r>
    </w:p>
    <w:p>
      <w:pPr>
        <w:spacing w:line="360" w:lineRule="auto"/>
        <w:ind w:firstLine="560" w:firstLineChars="200"/>
        <w:rPr>
          <w:rFonts w:ascii="宋体" w:hAnsi="宋体"/>
          <w:szCs w:val="28"/>
        </w:rPr>
      </w:pPr>
      <w:r>
        <w:rPr>
          <w:rFonts w:hint="eastAsia" w:ascii="宋体" w:hAnsi="宋体" w:cs="宋体"/>
          <w:iCs/>
          <w:kern w:val="0"/>
          <w:szCs w:val="28"/>
        </w:rPr>
        <w:t>4、学校审定。党委常委会研究确定考核结果。</w:t>
      </w:r>
    </w:p>
    <w:p>
      <w:pPr>
        <w:spacing w:line="360" w:lineRule="auto"/>
        <w:ind w:firstLine="560" w:firstLineChars="200"/>
        <w:rPr>
          <w:rFonts w:ascii="宋体" w:hAnsi="宋体"/>
          <w:szCs w:val="28"/>
        </w:rPr>
      </w:pPr>
      <w:r>
        <w:rPr>
          <w:rFonts w:ascii="宋体" w:hAnsi="宋体"/>
          <w:szCs w:val="28"/>
        </w:rPr>
        <w:t>5</w:t>
      </w:r>
      <w:r>
        <w:rPr>
          <w:rFonts w:hint="eastAsia" w:ascii="宋体" w:hAnsi="宋体"/>
          <w:szCs w:val="28"/>
        </w:rPr>
        <w:t>、公示。学校公示考核结果。</w:t>
      </w:r>
    </w:p>
    <w:p>
      <w:pPr>
        <w:spacing w:line="360" w:lineRule="auto"/>
        <w:ind w:firstLine="562" w:firstLineChars="200"/>
        <w:rPr>
          <w:rFonts w:ascii="宋体" w:hAnsi="宋体"/>
          <w:szCs w:val="28"/>
        </w:rPr>
      </w:pPr>
      <w:r>
        <w:rPr>
          <w:rFonts w:hint="eastAsia" w:ascii="宋体" w:hAnsi="宋体"/>
          <w:b/>
          <w:szCs w:val="28"/>
        </w:rPr>
        <w:t>六、考核奖励</w:t>
      </w:r>
    </w:p>
    <w:p>
      <w:pPr>
        <w:spacing w:line="360" w:lineRule="auto"/>
        <w:ind w:firstLine="560" w:firstLineChars="200"/>
        <w:rPr>
          <w:rFonts w:ascii="宋体" w:hAnsi="宋体"/>
          <w:szCs w:val="28"/>
        </w:rPr>
      </w:pPr>
      <w:r>
        <w:rPr>
          <w:rFonts w:hint="eastAsia" w:ascii="宋体" w:hAnsi="宋体"/>
          <w:szCs w:val="28"/>
        </w:rPr>
        <w:t>1、对于每个考核为优秀的领导班子，学校给予20万元奖励。</w:t>
      </w:r>
    </w:p>
    <w:p>
      <w:pPr>
        <w:spacing w:line="360" w:lineRule="auto"/>
        <w:ind w:firstLine="560" w:firstLineChars="200"/>
        <w:rPr>
          <w:rFonts w:ascii="宋体" w:hAnsi="宋体"/>
          <w:szCs w:val="28"/>
        </w:rPr>
      </w:pPr>
      <w:r>
        <w:rPr>
          <w:rFonts w:hint="eastAsia" w:ascii="宋体" w:hAnsi="宋体"/>
          <w:szCs w:val="28"/>
        </w:rPr>
        <w:t>2、目标考核结果由学校组织人事部门记录存档，作为单位领导班子成员任用的重要依据。</w:t>
      </w:r>
    </w:p>
    <w:p>
      <w:pPr>
        <w:spacing w:line="360" w:lineRule="auto"/>
        <w:ind w:firstLine="562" w:firstLineChars="200"/>
        <w:rPr>
          <w:rFonts w:ascii="宋体" w:hAnsi="宋体"/>
          <w:b/>
          <w:szCs w:val="28"/>
        </w:rPr>
      </w:pPr>
      <w:r>
        <w:rPr>
          <w:rFonts w:hint="eastAsia" w:ascii="宋体" w:hAnsi="宋体"/>
          <w:b/>
          <w:szCs w:val="28"/>
        </w:rPr>
        <w:t>七、附则</w:t>
      </w:r>
    </w:p>
    <w:p>
      <w:pPr>
        <w:spacing w:line="360" w:lineRule="auto"/>
        <w:ind w:firstLine="560" w:firstLineChars="200"/>
        <w:rPr>
          <w:rFonts w:hint="eastAsia" w:ascii="宋体" w:hAnsi="宋体"/>
          <w:szCs w:val="28"/>
        </w:rPr>
      </w:pPr>
      <w:r>
        <w:rPr>
          <w:rFonts w:hint="eastAsia" w:hAnsi="宋体"/>
          <w:szCs w:val="28"/>
        </w:rPr>
        <w:t>本办法</w:t>
      </w:r>
      <w:r>
        <w:rPr>
          <w:rFonts w:hint="eastAsia" w:ascii="宋体" w:hAnsi="宋体"/>
          <w:szCs w:val="28"/>
        </w:rPr>
        <w:t>由组织部、人事部负责解释。</w:t>
      </w:r>
    </w:p>
    <w:p>
      <w:pPr>
        <w:spacing w:line="360" w:lineRule="auto"/>
        <w:ind w:firstLine="560" w:firstLineChars="200"/>
        <w:rPr>
          <w:rFonts w:hint="eastAsia" w:ascii="宋体" w:hAnsi="宋体"/>
          <w:szCs w:val="28"/>
        </w:rPr>
      </w:pPr>
    </w:p>
    <w:p>
      <w:pPr>
        <w:spacing w:line="360" w:lineRule="auto"/>
        <w:ind w:firstLine="6300" w:firstLineChars="2250"/>
        <w:rPr>
          <w:rFonts w:ascii="宋体" w:hAnsi="宋体"/>
          <w:szCs w:val="28"/>
        </w:rPr>
      </w:pPr>
      <w:r>
        <w:rPr>
          <w:rFonts w:hint="eastAsia" w:ascii="宋体" w:hAnsi="宋体"/>
          <w:szCs w:val="28"/>
        </w:rPr>
        <w:t>合肥</w:t>
      </w:r>
      <w:r>
        <w:rPr>
          <w:rFonts w:ascii="宋体" w:hAnsi="宋体"/>
          <w:szCs w:val="28"/>
        </w:rPr>
        <w:t>工业大学</w:t>
      </w:r>
    </w:p>
    <w:p>
      <w:pPr>
        <w:spacing w:line="360" w:lineRule="auto"/>
        <w:jc w:val="right"/>
        <w:rPr>
          <w:rFonts w:ascii="宋体" w:hAnsi="宋体"/>
          <w:szCs w:val="28"/>
        </w:rPr>
      </w:pPr>
      <w:r>
        <w:rPr>
          <w:rFonts w:hint="eastAsia" w:ascii="宋体" w:hAnsi="宋体"/>
          <w:szCs w:val="28"/>
        </w:rPr>
        <w:t>2016年7月1日</w:t>
      </w:r>
    </w:p>
    <w:p>
      <w:pPr>
        <w:pStyle w:val="2"/>
      </w:pPr>
      <w:bookmarkStart w:id="2" w:name="_GoBack"/>
      <w:bookmarkEnd w:id="2"/>
      <w:bookmarkStart w:id="1" w:name="_Toc20767"/>
      <w:r>
        <w:rPr>
          <w:rFonts w:hint="eastAsia"/>
        </w:rPr>
        <w:t>学院（部）考核关键指标</w:t>
      </w:r>
      <w:bookmarkEnd w:id="1"/>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5484"/>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9" w:type="dxa"/>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考核项目</w:t>
            </w:r>
          </w:p>
        </w:tc>
        <w:tc>
          <w:tcPr>
            <w:tcW w:w="9866" w:type="dxa"/>
          </w:tcPr>
          <w:p>
            <w:pPr>
              <w:widowControl/>
              <w:spacing w:line="440" w:lineRule="exact"/>
              <w:jc w:val="center"/>
              <w:rPr>
                <w:rFonts w:ascii="仿宋" w:hAnsi="仿宋" w:eastAsia="仿宋" w:cs="Times New Roman"/>
                <w:b/>
                <w:bCs/>
                <w:kern w:val="0"/>
                <w:szCs w:val="28"/>
              </w:rPr>
            </w:pPr>
            <w:r>
              <w:rPr>
                <w:rFonts w:hint="eastAsia" w:ascii="宋体" w:hAnsi="宋体" w:cs="宋体"/>
                <w:b/>
                <w:bCs/>
                <w:szCs w:val="28"/>
              </w:rPr>
              <w:t>关键指标</w:t>
            </w:r>
          </w:p>
        </w:tc>
        <w:tc>
          <w:tcPr>
            <w:tcW w:w="2159" w:type="dxa"/>
          </w:tcPr>
          <w:p>
            <w:pPr>
              <w:widowControl/>
              <w:spacing w:line="440" w:lineRule="exact"/>
              <w:jc w:val="center"/>
              <w:rPr>
                <w:rFonts w:ascii="宋体" w:cs="宋体"/>
                <w:b/>
                <w:bCs/>
                <w:szCs w:val="28"/>
              </w:rPr>
            </w:pPr>
            <w:r>
              <w:rPr>
                <w:rFonts w:hint="eastAsia" w:ascii="宋体" w:hAnsi="宋体" w:cs="宋体"/>
                <w:b/>
                <w:bCs/>
                <w:szCs w:val="28"/>
              </w:rPr>
              <w:t>测评单位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一、党建与思想政治等相关工作</w:t>
            </w:r>
          </w:p>
        </w:tc>
        <w:tc>
          <w:tcPr>
            <w:tcW w:w="9866" w:type="dxa"/>
          </w:tcPr>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1.落实党风廉政建设主体责任和领导干部“一岗双责”，有效防止违规违纪行为发生</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2.加强领导班子建设与干部队伍建设，落实学院议事规则，严格执行“三重一大”决策程序</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3.有效落实《中国共产党普通高等学校基层组织工作条例》，规范党内政治生活，落实党建工作重点任务，落实基层党组织标准化建设，推进“两学一做”学习教育常态化、制度化。党建工作重点任务督查及政治巡视反馈意见整改落实情况</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4.习近平新时代中国特色社会主义思想和党的十九大精神学习贯彻落实情况，全国教育大会精神学习宣传情况，以及“三全育人”落实情况；贯彻落实意识形态工作责任制，做好本单位主要成就和先进人物及事迹的内外宣传，重视并加强网络宣传，壮大主流舆论，讲好工大故事</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5.做好对离退休人员的走访慰问、困难帮扶和关心下一代等方面工作</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6.重视统一战线工作，建立并认真落实领导班子成员联系本单位党外代表人士和民主党派成员制度以及参与本单位重大问题协商制度</w:t>
            </w:r>
          </w:p>
          <w:p>
            <w:pPr>
              <w:widowControl/>
              <w:spacing w:line="440" w:lineRule="exact"/>
              <w:jc w:val="left"/>
              <w:rPr>
                <w:rFonts w:ascii="仿宋" w:hAnsi="仿宋" w:eastAsia="仿宋" w:cs="Times New Roman"/>
                <w:kern w:val="0"/>
                <w:sz w:val="30"/>
                <w:szCs w:val="30"/>
              </w:rPr>
            </w:pPr>
            <w:r>
              <w:rPr>
                <w:rFonts w:hint="eastAsia" w:ascii="仿宋" w:hAnsi="仿宋" w:eastAsia="仿宋" w:cs="仿宋"/>
                <w:kern w:val="0"/>
                <w:szCs w:val="28"/>
              </w:rPr>
              <w:t>7.充分发挥工会、二级教代会作用，全面履行参与、维护、建设、教育职能，牢牢把握保持和增强政治性、先进性、群众性，竭诚服务广大职工群众</w:t>
            </w:r>
          </w:p>
        </w:tc>
        <w:tc>
          <w:tcPr>
            <w:tcW w:w="2159" w:type="dxa"/>
            <w:vAlign w:val="center"/>
          </w:tcPr>
          <w:p>
            <w:pPr>
              <w:widowControl/>
              <w:spacing w:line="440" w:lineRule="exact"/>
              <w:jc w:val="center"/>
              <w:rPr>
                <w:rFonts w:ascii="仿宋" w:hAnsi="仿宋" w:eastAsia="仿宋" w:cs="仿宋"/>
                <w:kern w:val="0"/>
                <w:szCs w:val="28"/>
              </w:rPr>
            </w:pPr>
            <w:r>
              <w:rPr>
                <w:rFonts w:hint="eastAsia" w:ascii="仿宋" w:hAnsi="仿宋" w:eastAsia="仿宋" w:cs="仿宋"/>
                <w:kern w:val="0"/>
                <w:szCs w:val="28"/>
              </w:rPr>
              <w:t>牵头单位：组织部</w:t>
            </w:r>
          </w:p>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参与单位：纪委办、宣传部、离退休部、工会、统战部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二、教学工作</w:t>
            </w:r>
          </w:p>
        </w:tc>
        <w:tc>
          <w:tcPr>
            <w:tcW w:w="9866" w:type="dxa"/>
          </w:tcPr>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1.招生宣传的组织与效果</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2.教学计划制定的规范性</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3.教学过程与</w:t>
            </w:r>
            <w:r>
              <w:rPr>
                <w:rFonts w:ascii="仿宋" w:hAnsi="仿宋" w:eastAsia="仿宋" w:cs="仿宋"/>
                <w:kern w:val="0"/>
                <w:szCs w:val="28"/>
              </w:rPr>
              <w:t>2015</w:t>
            </w:r>
            <w:r>
              <w:rPr>
                <w:rFonts w:hint="eastAsia" w:ascii="仿宋" w:hAnsi="仿宋" w:eastAsia="仿宋" w:cs="仿宋"/>
                <w:kern w:val="0"/>
                <w:szCs w:val="28"/>
              </w:rPr>
              <w:t>版教学计划符合度</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4.按时落实教学执行计划（含宣城校区）</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5.按时准确提交成绩</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6.创新创业类课程开设情况</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7.省部级以上学科竞赛中每百名学生获奖率</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8.组织教师培训活动（包括人数及成效）</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9.及时上报教学有关数据信息</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10.负面清单：实验室安全事故；教学事故</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本科生院、</w:t>
            </w:r>
          </w:p>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本科教学指导委员会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三、科研工作</w:t>
            </w:r>
          </w:p>
        </w:tc>
        <w:tc>
          <w:tcPr>
            <w:tcW w:w="9866" w:type="dxa"/>
          </w:tcPr>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1.动员组织申报及获批国家自然（社科）基金等国家级项目情况</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2.组织策划及获批省部级以上平台情况</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3.获省部级及以上成果奖励数</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4.人均科研经费增长率</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5.青年教师人均发表高水平论文数</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6.人均授权发明专利数、人均专利转化项数</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科研院、</w:t>
            </w:r>
          </w:p>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四、学科建设与研究生工作</w:t>
            </w:r>
          </w:p>
        </w:tc>
        <w:tc>
          <w:tcPr>
            <w:tcW w:w="9866" w:type="dxa"/>
          </w:tcPr>
          <w:p>
            <w:pPr>
              <w:widowControl/>
              <w:spacing w:line="440" w:lineRule="exact"/>
              <w:jc w:val="left"/>
              <w:rPr>
                <w:rFonts w:ascii="仿宋" w:hAnsi="仿宋" w:eastAsia="仿宋" w:cs="Times New Roman"/>
                <w:kern w:val="0"/>
                <w:szCs w:val="28"/>
              </w:rPr>
            </w:pPr>
            <w:r>
              <w:rPr>
                <w:rFonts w:ascii="仿宋" w:hAnsi="仿宋" w:eastAsia="仿宋" w:cs="仿宋"/>
                <w:kern w:val="0"/>
                <w:szCs w:val="28"/>
              </w:rPr>
              <w:t>1.</w:t>
            </w:r>
            <w:r>
              <w:rPr>
                <w:rFonts w:hint="eastAsia" w:ascii="仿宋" w:hAnsi="仿宋" w:eastAsia="仿宋" w:cs="仿宋"/>
                <w:kern w:val="0"/>
                <w:szCs w:val="28"/>
              </w:rPr>
              <w:t>全日制研究生招生质量（</w:t>
            </w:r>
            <w:r>
              <w:rPr>
                <w:rFonts w:ascii="仿宋" w:hAnsi="仿宋" w:eastAsia="仿宋" w:cs="仿宋"/>
                <w:kern w:val="0"/>
                <w:szCs w:val="28"/>
              </w:rPr>
              <w:t>211</w:t>
            </w:r>
            <w:r>
              <w:rPr>
                <w:rFonts w:hint="eastAsia" w:ascii="仿宋" w:hAnsi="仿宋" w:eastAsia="仿宋" w:cs="仿宋"/>
                <w:kern w:val="0"/>
                <w:szCs w:val="28"/>
              </w:rPr>
              <w:t>以上学校硕士生生源录取比例及提高率、硕博连读生及提前攻博学生的比例及提高率）</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2.</w:t>
            </w:r>
            <w:r>
              <w:rPr>
                <w:rFonts w:hint="eastAsia" w:ascii="仿宋" w:hAnsi="仿宋" w:eastAsia="仿宋" w:cs="仿宋"/>
                <w:kern w:val="0"/>
                <w:szCs w:val="28"/>
              </w:rPr>
              <w:t>非全日制研究生招生数量</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3.</w:t>
            </w:r>
            <w:r>
              <w:rPr>
                <w:rFonts w:hint="eastAsia" w:ascii="仿宋" w:hAnsi="仿宋" w:eastAsia="仿宋" w:cs="仿宋"/>
                <w:kern w:val="0"/>
                <w:szCs w:val="28"/>
              </w:rPr>
              <w:t>研究生培养过程质量</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4.</w:t>
            </w:r>
            <w:r>
              <w:rPr>
                <w:rFonts w:hint="eastAsia" w:ascii="仿宋" w:hAnsi="仿宋" w:eastAsia="仿宋" w:cs="仿宋"/>
                <w:kern w:val="0"/>
                <w:szCs w:val="28"/>
              </w:rPr>
              <w:t>研究生毕业论文评审中优良率（</w:t>
            </w:r>
            <w:r>
              <w:rPr>
                <w:rFonts w:ascii="仿宋" w:hAnsi="仿宋" w:eastAsia="仿宋" w:cs="仿宋"/>
                <w:kern w:val="0"/>
                <w:szCs w:val="28"/>
              </w:rPr>
              <w:t>75</w:t>
            </w:r>
            <w:r>
              <w:rPr>
                <w:rFonts w:hint="eastAsia" w:ascii="仿宋" w:hAnsi="仿宋" w:eastAsia="仿宋" w:cs="仿宋"/>
                <w:kern w:val="0"/>
                <w:szCs w:val="28"/>
              </w:rPr>
              <w:t>以上）</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5.</w:t>
            </w:r>
            <w:r>
              <w:rPr>
                <w:rFonts w:hint="eastAsia" w:ascii="仿宋" w:hAnsi="仿宋" w:eastAsia="仿宋" w:cs="仿宋"/>
                <w:kern w:val="0"/>
                <w:szCs w:val="28"/>
              </w:rPr>
              <w:t>学科建设组织与成效</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6.</w:t>
            </w:r>
            <w:r>
              <w:rPr>
                <w:rFonts w:hint="eastAsia" w:ascii="仿宋" w:hAnsi="仿宋" w:eastAsia="仿宋" w:cs="仿宋"/>
                <w:kern w:val="0"/>
                <w:szCs w:val="28"/>
              </w:rPr>
              <w:t>研究生导师相关工作</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7.</w:t>
            </w:r>
            <w:r>
              <w:rPr>
                <w:rFonts w:hint="eastAsia" w:ascii="仿宋" w:hAnsi="仿宋" w:eastAsia="仿宋" w:cs="仿宋"/>
                <w:kern w:val="0"/>
                <w:szCs w:val="28"/>
              </w:rPr>
              <w:t>负面清单：在研究生招生、培养、学位管理、学科建设中出现重大失误</w:t>
            </w:r>
          </w:p>
        </w:tc>
        <w:tc>
          <w:tcPr>
            <w:tcW w:w="2159" w:type="dxa"/>
            <w:vAlign w:val="center"/>
          </w:tcPr>
          <w:p>
            <w:pPr>
              <w:pStyle w:val="7"/>
              <w:widowControl/>
              <w:spacing w:line="440" w:lineRule="exact"/>
              <w:ind w:firstLine="0" w:firstLineChars="0"/>
              <w:jc w:val="center"/>
              <w:rPr>
                <w:rFonts w:ascii="仿宋" w:hAnsi="仿宋" w:eastAsia="仿宋" w:cs="Times New Roman"/>
                <w:kern w:val="0"/>
                <w:szCs w:val="28"/>
              </w:rPr>
            </w:pPr>
            <w:r>
              <w:rPr>
                <w:rFonts w:hint="eastAsia" w:ascii="仿宋" w:hAnsi="仿宋" w:eastAsia="仿宋" w:cs="仿宋"/>
                <w:kern w:val="0"/>
                <w:szCs w:val="28"/>
              </w:rPr>
              <w:t>研究生院、</w:t>
            </w:r>
          </w:p>
          <w:p>
            <w:pPr>
              <w:pStyle w:val="7"/>
              <w:widowControl/>
              <w:spacing w:line="440" w:lineRule="exact"/>
              <w:ind w:firstLine="0" w:firstLineChars="0"/>
              <w:jc w:val="center"/>
              <w:rPr>
                <w:rFonts w:ascii="仿宋" w:hAnsi="仿宋" w:eastAsia="仿宋" w:cs="Times New Roman"/>
                <w:kern w:val="0"/>
                <w:szCs w:val="28"/>
              </w:rPr>
            </w:pPr>
            <w:r>
              <w:rPr>
                <w:rFonts w:hint="eastAsia" w:ascii="仿宋" w:hAnsi="仿宋" w:eastAsia="仿宋" w:cs="仿宋"/>
                <w:kern w:val="0"/>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五、人才与师资工作</w:t>
            </w:r>
          </w:p>
        </w:tc>
        <w:tc>
          <w:tcPr>
            <w:tcW w:w="9866" w:type="dxa"/>
          </w:tcPr>
          <w:p>
            <w:pPr>
              <w:widowControl/>
              <w:spacing w:line="440" w:lineRule="exact"/>
              <w:jc w:val="left"/>
              <w:rPr>
                <w:rFonts w:ascii="仿宋" w:hAnsi="仿宋" w:eastAsia="仿宋" w:cs="Times New Roman"/>
                <w:kern w:val="0"/>
                <w:szCs w:val="28"/>
              </w:rPr>
            </w:pPr>
            <w:r>
              <w:rPr>
                <w:rFonts w:ascii="仿宋" w:hAnsi="仿宋" w:eastAsia="仿宋" w:cs="仿宋"/>
                <w:kern w:val="0"/>
                <w:szCs w:val="28"/>
              </w:rPr>
              <w:t>1.</w:t>
            </w:r>
            <w:r>
              <w:rPr>
                <w:rFonts w:hint="eastAsia" w:ascii="仿宋" w:hAnsi="仿宋" w:eastAsia="仿宋" w:cs="仿宋"/>
                <w:kern w:val="0"/>
                <w:szCs w:val="28"/>
              </w:rPr>
              <w:t>高层次人才队伍建设情况</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2.</w:t>
            </w:r>
            <w:r>
              <w:rPr>
                <w:rFonts w:hint="eastAsia" w:ascii="仿宋" w:hAnsi="仿宋" w:eastAsia="仿宋" w:cs="仿宋"/>
                <w:kern w:val="0"/>
                <w:szCs w:val="28"/>
              </w:rPr>
              <w:t>各类人才项目申报及获取情况</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3.</w:t>
            </w:r>
            <w:r>
              <w:rPr>
                <w:rFonts w:hint="eastAsia" w:ascii="仿宋" w:hAnsi="仿宋" w:eastAsia="仿宋" w:cs="仿宋"/>
                <w:kern w:val="0"/>
                <w:szCs w:val="28"/>
              </w:rPr>
              <w:t>师资队伍建设措施与效果（青年教师引进与培养情况）</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六、学生工作与共青团工作</w:t>
            </w:r>
          </w:p>
        </w:tc>
        <w:tc>
          <w:tcPr>
            <w:tcW w:w="9866" w:type="dxa"/>
          </w:tcPr>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1.思想政治教育计划实施和学生思想状况</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2.日常管理和学生行为规范</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3.学风建设措施和效果</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4.心理健康教育和危机干预</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5.资助育人和学生贷款还款状况</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6.毕业生就业调查和就业状况</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7.辅导员和班主任队伍建设</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8.全面加强共青团的领导和支持，稳步推进改革</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9.重视团的基层组织建设，组织机构健全，人员配备齐全</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10.注重共青团立德树人和思想政治工作，特色明显</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11.积极落实和应用第二课堂成绩单制度，“挑战杯”“创青春”“三下乡”等有序有效</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12.全面从严管团治团，统筹协调推动，团学体系规范有序</w:t>
            </w:r>
          </w:p>
          <w:p>
            <w:pPr>
              <w:widowControl/>
              <w:spacing w:line="440" w:lineRule="exact"/>
              <w:jc w:val="left"/>
              <w:rPr>
                <w:rFonts w:ascii="仿宋" w:hAnsi="仿宋" w:eastAsia="仿宋" w:cs="仿宋"/>
                <w:kern w:val="0"/>
                <w:szCs w:val="28"/>
              </w:rPr>
            </w:pPr>
            <w:r>
              <w:rPr>
                <w:rFonts w:hint="eastAsia" w:ascii="仿宋" w:hAnsi="仿宋" w:eastAsia="仿宋" w:cs="仿宋"/>
                <w:kern w:val="0"/>
                <w:szCs w:val="28"/>
              </w:rPr>
              <w:t>13.工作进展和特色工作</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14.负面清单：重大责任事故</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学工部、</w:t>
            </w:r>
          </w:p>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七、国有资产管理与财务</w:t>
            </w:r>
          </w:p>
        </w:tc>
        <w:tc>
          <w:tcPr>
            <w:tcW w:w="9866" w:type="dxa"/>
          </w:tcPr>
          <w:p>
            <w:pPr>
              <w:widowControl/>
              <w:spacing w:line="440" w:lineRule="exact"/>
              <w:jc w:val="left"/>
              <w:rPr>
                <w:rFonts w:ascii="仿宋" w:hAnsi="仿宋" w:eastAsia="仿宋" w:cs="Times New Roman"/>
                <w:kern w:val="0"/>
                <w:szCs w:val="28"/>
              </w:rPr>
            </w:pPr>
            <w:r>
              <w:rPr>
                <w:rFonts w:ascii="仿宋" w:hAnsi="仿宋" w:eastAsia="仿宋" w:cs="仿宋"/>
                <w:kern w:val="0"/>
                <w:szCs w:val="28"/>
              </w:rPr>
              <w:t>1.</w:t>
            </w:r>
            <w:r>
              <w:rPr>
                <w:rFonts w:hint="eastAsia" w:ascii="仿宋" w:hAnsi="仿宋" w:eastAsia="仿宋" w:cs="仿宋"/>
                <w:kern w:val="0"/>
                <w:szCs w:val="28"/>
              </w:rPr>
              <w:t>内控制度建设与实施</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2.</w:t>
            </w:r>
            <w:r>
              <w:rPr>
                <w:rFonts w:hint="eastAsia" w:ascii="仿宋" w:hAnsi="仿宋" w:eastAsia="仿宋" w:cs="仿宋"/>
                <w:kern w:val="0"/>
                <w:szCs w:val="28"/>
              </w:rPr>
              <w:t>财务预算实施情况与经费使用效益</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3.</w:t>
            </w:r>
            <w:r>
              <w:rPr>
                <w:rFonts w:hint="eastAsia" w:ascii="仿宋" w:hAnsi="仿宋" w:eastAsia="仿宋" w:cs="仿宋"/>
                <w:kern w:val="0"/>
                <w:szCs w:val="28"/>
              </w:rPr>
              <w:t>资产管理（资产管理基础工作、资产过程管理的规范性、资产使用率）</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财务处、</w:t>
            </w:r>
          </w:p>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审计处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八、国际化</w:t>
            </w:r>
          </w:p>
        </w:tc>
        <w:tc>
          <w:tcPr>
            <w:tcW w:w="9866" w:type="dxa"/>
          </w:tcPr>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1.国际学术交流与科研合作</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2.国际合作平台建设</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3.学生海外学习与交流</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4.中外合作办学项目或学生联合培养项目</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5.教学国际化情况</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6.在读留学生人数</w:t>
            </w:r>
          </w:p>
          <w:p>
            <w:pPr>
              <w:widowControl/>
              <w:spacing w:line="440" w:lineRule="exact"/>
              <w:jc w:val="left"/>
              <w:rPr>
                <w:rFonts w:ascii="仿宋" w:hAnsi="仿宋" w:eastAsia="仿宋" w:cs="Times New Roman"/>
                <w:kern w:val="0"/>
                <w:szCs w:val="28"/>
              </w:rPr>
            </w:pPr>
            <w:r>
              <w:rPr>
                <w:rFonts w:hint="eastAsia" w:ascii="仿宋" w:hAnsi="仿宋" w:eastAsia="仿宋" w:cs="仿宋"/>
                <w:kern w:val="0"/>
                <w:szCs w:val="28"/>
              </w:rPr>
              <w:t>7.负面清单：</w:t>
            </w:r>
            <w:r>
              <w:rPr>
                <w:rFonts w:hint="eastAsia" w:ascii="仿宋" w:hAnsi="仿宋" w:eastAsia="仿宋" w:cs="仿宋"/>
                <w:szCs w:val="28"/>
              </w:rPr>
              <w:t>违反外事纪律</w:t>
            </w:r>
          </w:p>
        </w:tc>
        <w:tc>
          <w:tcPr>
            <w:tcW w:w="2159" w:type="dxa"/>
            <w:vAlign w:val="center"/>
          </w:tcPr>
          <w:p>
            <w:pPr>
              <w:widowControl/>
              <w:spacing w:line="440" w:lineRule="exact"/>
              <w:jc w:val="center"/>
              <w:rPr>
                <w:rFonts w:ascii="仿宋" w:hAnsi="仿宋" w:eastAsia="仿宋" w:cs="Times New Roman"/>
                <w:kern w:val="0"/>
                <w:szCs w:val="28"/>
              </w:rPr>
            </w:pPr>
            <w:r>
              <w:rPr>
                <w:rFonts w:hint="eastAsia" w:ascii="仿宋" w:hAnsi="仿宋" w:eastAsia="仿宋" w:cs="仿宋"/>
                <w:kern w:val="0"/>
                <w:szCs w:val="28"/>
              </w:rPr>
              <w:t>国际事务处（港澳台事务办公室）、国际教育学院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2"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九、学院运行</w:t>
            </w:r>
          </w:p>
        </w:tc>
        <w:tc>
          <w:tcPr>
            <w:tcW w:w="9866" w:type="dxa"/>
          </w:tcPr>
          <w:p>
            <w:pPr>
              <w:widowControl/>
              <w:spacing w:line="440" w:lineRule="exact"/>
              <w:jc w:val="left"/>
              <w:rPr>
                <w:rFonts w:ascii="仿宋" w:hAnsi="仿宋" w:eastAsia="仿宋" w:cs="Times New Roman"/>
                <w:kern w:val="0"/>
                <w:szCs w:val="28"/>
              </w:rPr>
            </w:pPr>
            <w:r>
              <w:rPr>
                <w:rFonts w:ascii="仿宋" w:hAnsi="仿宋" w:eastAsia="仿宋" w:cs="仿宋"/>
                <w:kern w:val="0"/>
                <w:szCs w:val="28"/>
              </w:rPr>
              <w:t>1.</w:t>
            </w:r>
            <w:r>
              <w:rPr>
                <w:rFonts w:hint="eastAsia" w:ascii="仿宋" w:hAnsi="仿宋" w:eastAsia="仿宋" w:cs="仿宋"/>
                <w:kern w:val="0"/>
                <w:szCs w:val="28"/>
              </w:rPr>
              <w:t>综合管理（</w:t>
            </w:r>
            <w:r>
              <w:rPr>
                <w:rFonts w:hint="eastAsia" w:ascii="仿宋_GB2312" w:hAnsi="宋体" w:eastAsia="仿宋_GB2312"/>
                <w:szCs w:val="28"/>
              </w:rPr>
              <w:t>政令畅通、令行禁止、制度健全</w:t>
            </w:r>
            <w:r>
              <w:rPr>
                <w:rFonts w:hint="eastAsia" w:ascii="仿宋" w:hAnsi="仿宋" w:eastAsia="仿宋" w:cs="仿宋"/>
                <w:kern w:val="0"/>
                <w:szCs w:val="28"/>
              </w:rPr>
              <w:t>）</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2.</w:t>
            </w:r>
            <w:r>
              <w:rPr>
                <w:rFonts w:hint="eastAsia" w:ascii="仿宋" w:hAnsi="仿宋" w:eastAsia="仿宋" w:cs="仿宋"/>
                <w:kern w:val="0"/>
                <w:szCs w:val="28"/>
              </w:rPr>
              <w:t>安全稳定管理（</w:t>
            </w:r>
            <w:r>
              <w:rPr>
                <w:rFonts w:hint="eastAsia" w:ascii="仿宋_GB2312" w:hAnsi="宋体" w:eastAsia="仿宋_GB2312"/>
                <w:szCs w:val="28"/>
              </w:rPr>
              <w:t>贯彻稳定工作制，落实各项措施，防止各类突发事件与安全事故的发生，网络安全与信息化、有关涉密工作的责任落实情况</w:t>
            </w:r>
            <w:r>
              <w:rPr>
                <w:rFonts w:hint="eastAsia" w:ascii="仿宋" w:hAnsi="仿宋" w:eastAsia="仿宋" w:cs="仿宋"/>
                <w:kern w:val="0"/>
                <w:szCs w:val="28"/>
              </w:rPr>
              <w:t>）</w:t>
            </w:r>
          </w:p>
          <w:p>
            <w:pPr>
              <w:widowControl/>
              <w:spacing w:line="440" w:lineRule="exact"/>
              <w:jc w:val="left"/>
              <w:rPr>
                <w:rFonts w:ascii="仿宋" w:hAnsi="仿宋" w:eastAsia="仿宋" w:cs="Times New Roman"/>
                <w:kern w:val="0"/>
                <w:szCs w:val="28"/>
              </w:rPr>
            </w:pPr>
            <w:r>
              <w:rPr>
                <w:rFonts w:ascii="仿宋" w:hAnsi="仿宋" w:eastAsia="仿宋" w:cs="仿宋"/>
                <w:kern w:val="0"/>
                <w:szCs w:val="28"/>
              </w:rPr>
              <w:t>3.</w:t>
            </w:r>
            <w:r>
              <w:rPr>
                <w:rFonts w:hint="eastAsia" w:ascii="仿宋" w:hAnsi="仿宋" w:eastAsia="仿宋" w:cs="仿宋"/>
                <w:kern w:val="0"/>
                <w:szCs w:val="28"/>
              </w:rPr>
              <w:t>日常管理（</w:t>
            </w:r>
            <w:r>
              <w:rPr>
                <w:rFonts w:hint="eastAsia" w:ascii="仿宋_GB2312" w:hAnsi="宋体" w:eastAsia="仿宋_GB2312"/>
                <w:szCs w:val="28"/>
              </w:rPr>
              <w:t>各类信息、文档的规范化流转与管理，严格按照公文运转规定和程序办事，按时完成学校交办的各类任务</w:t>
            </w:r>
            <w:r>
              <w:rPr>
                <w:rFonts w:hint="eastAsia" w:ascii="仿宋" w:hAnsi="仿宋" w:eastAsia="仿宋" w:cs="仿宋"/>
                <w:kern w:val="0"/>
                <w:szCs w:val="28"/>
              </w:rPr>
              <w:t>）</w:t>
            </w:r>
          </w:p>
          <w:p>
            <w:pPr>
              <w:widowControl/>
              <w:spacing w:line="440" w:lineRule="exact"/>
              <w:jc w:val="left"/>
              <w:rPr>
                <w:rFonts w:ascii="仿宋" w:hAnsi="仿宋" w:eastAsia="仿宋" w:cs="仿宋"/>
                <w:kern w:val="0"/>
                <w:szCs w:val="28"/>
              </w:rPr>
            </w:pPr>
            <w:r>
              <w:rPr>
                <w:rFonts w:ascii="仿宋" w:hAnsi="仿宋" w:eastAsia="仿宋" w:cs="仿宋"/>
                <w:kern w:val="0"/>
                <w:szCs w:val="28"/>
              </w:rPr>
              <w:t>4.</w:t>
            </w:r>
            <w:r>
              <w:rPr>
                <w:rFonts w:hint="eastAsia" w:ascii="仿宋" w:hAnsi="仿宋" w:eastAsia="仿宋" w:cs="仿宋"/>
                <w:kern w:val="0"/>
                <w:szCs w:val="28"/>
              </w:rPr>
              <w:t>负面清单：发生重大泄密事件</w:t>
            </w:r>
            <w:r>
              <w:rPr>
                <w:rFonts w:hint="eastAsia" w:ascii="仿宋" w:hAnsi="仿宋" w:eastAsia="仿宋" w:cs="Times New Roman"/>
                <w:kern w:val="0"/>
                <w:szCs w:val="28"/>
              </w:rPr>
              <w:t>；发生重大网络安全事件；</w:t>
            </w:r>
            <w:r>
              <w:rPr>
                <w:rFonts w:hint="eastAsia" w:ascii="仿宋" w:hAnsi="仿宋" w:eastAsia="仿宋" w:cs="仿宋"/>
                <w:kern w:val="0"/>
                <w:szCs w:val="28"/>
              </w:rPr>
              <w:t>有违反学校综合治理规定</w:t>
            </w:r>
            <w:r>
              <w:rPr>
                <w:rFonts w:hint="eastAsia" w:ascii="仿宋" w:hAnsi="仿宋" w:eastAsia="仿宋" w:cs="Times New Roman"/>
                <w:kern w:val="0"/>
                <w:szCs w:val="28"/>
              </w:rPr>
              <w:t>；</w:t>
            </w:r>
            <w:r>
              <w:rPr>
                <w:rFonts w:hint="eastAsia" w:ascii="仿宋" w:hAnsi="仿宋" w:eastAsia="仿宋" w:cs="仿宋"/>
                <w:kern w:val="0"/>
                <w:szCs w:val="28"/>
              </w:rPr>
              <w:t>发生安全责任事故、火灾等影响学校安全稳</w:t>
            </w:r>
            <w:r>
              <w:rPr>
                <w:rFonts w:hint="eastAsia" w:ascii="仿宋" w:hAnsi="仿宋" w:eastAsia="仿宋" w:cs="Times New Roman"/>
                <w:kern w:val="0"/>
                <w:szCs w:val="28"/>
              </w:rPr>
              <w:t>定事件；未及时处置所通报的网络安全事件；紧急重要信息迟报、漏报、瞒报</w:t>
            </w:r>
            <w:r>
              <w:rPr>
                <w:rFonts w:hint="eastAsia" w:ascii="仿宋" w:hAnsi="仿宋" w:eastAsia="仿宋" w:cs="仿宋"/>
                <w:kern w:val="0"/>
                <w:szCs w:val="28"/>
              </w:rPr>
              <w:t>等情况。</w:t>
            </w:r>
          </w:p>
        </w:tc>
        <w:tc>
          <w:tcPr>
            <w:tcW w:w="2159" w:type="dxa"/>
            <w:vAlign w:val="center"/>
          </w:tcPr>
          <w:p>
            <w:pPr>
              <w:widowControl/>
              <w:spacing w:line="440" w:lineRule="exact"/>
              <w:jc w:val="center"/>
              <w:rPr>
                <w:rFonts w:ascii="仿宋" w:hAnsi="仿宋" w:eastAsia="仿宋" w:cs="仿宋"/>
                <w:kern w:val="0"/>
                <w:szCs w:val="28"/>
              </w:rPr>
            </w:pPr>
            <w:r>
              <w:rPr>
                <w:rFonts w:hint="eastAsia" w:ascii="仿宋" w:hAnsi="仿宋" w:eastAsia="仿宋" w:cs="仿宋"/>
                <w:kern w:val="0"/>
                <w:szCs w:val="28"/>
              </w:rPr>
              <w:t>牵头单位：党政办公室</w:t>
            </w:r>
          </w:p>
          <w:p>
            <w:pPr>
              <w:widowControl/>
              <w:spacing w:line="440" w:lineRule="exact"/>
              <w:jc w:val="center"/>
              <w:rPr>
                <w:rFonts w:cs="Times New Roman"/>
                <w:szCs w:val="28"/>
              </w:rPr>
            </w:pPr>
            <w:r>
              <w:rPr>
                <w:rFonts w:hint="eastAsia" w:ascii="仿宋" w:hAnsi="仿宋" w:eastAsia="仿宋" w:cs="仿宋"/>
                <w:kern w:val="0"/>
                <w:szCs w:val="28"/>
              </w:rPr>
              <w:t>参与单位：党委保卫部（保卫处）、总务部、信息化建设与发展中心</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6F254B"/>
    <w:rsid w:val="1AA766A2"/>
    <w:rsid w:val="24903D06"/>
    <w:rsid w:val="270D1BE1"/>
    <w:rsid w:val="321002F3"/>
    <w:rsid w:val="3A8B5061"/>
    <w:rsid w:val="403443A0"/>
    <w:rsid w:val="442F3F3E"/>
    <w:rsid w:val="4A51605B"/>
    <w:rsid w:val="51960112"/>
    <w:rsid w:val="7BE90BA9"/>
    <w:rsid w:val="7E7F3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2020-12-07T03:22:00Z</dcterms:created>
  <dc:creator>Administrator</dc:creator>
  <cp:lastModifiedBy>張毅</cp:lastModifiedBy>
  <dcterms:modified xsi:type="dcterms:W3CDTF">2020-12-07T03:28:38Z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